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519" w:rsidRDefault="00D52F7D" w:rsidP="00037BE2">
      <w:pPr>
        <w:jc w:val="center"/>
        <w:rPr>
          <w:rFonts w:cs="Arial"/>
          <w:b/>
        </w:rPr>
      </w:pPr>
      <w:r>
        <w:rPr>
          <w:rFonts w:cs="Arial"/>
          <w:b/>
        </w:rPr>
        <w:t>V.</w:t>
      </w:r>
    </w:p>
    <w:p w:rsidR="00AD05E9" w:rsidRDefault="00AD05E9" w:rsidP="00AD05E9">
      <w:pPr>
        <w:jc w:val="center"/>
        <w:rPr>
          <w:rFonts w:cs="Arial"/>
          <w:b/>
        </w:rPr>
      </w:pPr>
      <w:r>
        <w:rPr>
          <w:rFonts w:cs="Arial"/>
          <w:b/>
        </w:rPr>
        <w:t>Závěrečná zpráva z hodnocení dopadů regulace podle obecných zásad (RIA)</w:t>
      </w:r>
    </w:p>
    <w:p w:rsidR="00AD05E9" w:rsidRDefault="00AD05E9" w:rsidP="00AD05E9">
      <w:pPr>
        <w:rPr>
          <w:rFonts w:cs="Arial"/>
          <w:b/>
        </w:rPr>
      </w:pPr>
    </w:p>
    <w:p w:rsidR="0068724C" w:rsidRDefault="0068724C" w:rsidP="0068724C">
      <w:pPr>
        <w:jc w:val="center"/>
        <w:rPr>
          <w:rFonts w:cs="Arial"/>
          <w:b/>
        </w:rPr>
      </w:pPr>
      <w:r>
        <w:rPr>
          <w:rFonts w:cs="Arial"/>
          <w:b/>
        </w:rPr>
        <w:t>SHRNUTÍ ZÁVĚREČNÉ ZPRÁVY RIA</w:t>
      </w:r>
    </w:p>
    <w:p w:rsidR="0068724C" w:rsidRDefault="0068724C" w:rsidP="0068724C">
      <w:pPr>
        <w:rPr>
          <w:rFonts w:cs="Arial"/>
          <w:b/>
        </w:rPr>
      </w:pPr>
    </w:p>
    <w:tbl>
      <w:tblPr>
        <w:tblW w:w="9798" w:type="dxa"/>
        <w:tblInd w:w="-15" w:type="dxa"/>
        <w:tblLayout w:type="fixed"/>
        <w:tblLook w:val="0000" w:firstRow="0" w:lastRow="0" w:firstColumn="0" w:lastColumn="0" w:noHBand="0" w:noVBand="0"/>
      </w:tblPr>
      <w:tblGrid>
        <w:gridCol w:w="4766"/>
        <w:gridCol w:w="5032"/>
      </w:tblGrid>
      <w:tr w:rsidR="0068724C" w:rsidRPr="00665C2D" w:rsidTr="002E01DD">
        <w:trPr>
          <w:trHeight w:val="596"/>
        </w:trPr>
        <w:tc>
          <w:tcPr>
            <w:tcW w:w="9798" w:type="dxa"/>
            <w:gridSpan w:val="2"/>
            <w:tcBorders>
              <w:top w:val="single" w:sz="8" w:space="0" w:color="000000"/>
              <w:left w:val="single" w:sz="8" w:space="0" w:color="000000"/>
              <w:bottom w:val="single" w:sz="4" w:space="0" w:color="000000"/>
              <w:right w:val="single" w:sz="8" w:space="0" w:color="000000"/>
            </w:tcBorders>
            <w:vAlign w:val="bottom"/>
          </w:tcPr>
          <w:p w:rsidR="0068724C" w:rsidRPr="00665C2D" w:rsidRDefault="0068724C" w:rsidP="002E01DD">
            <w:pPr>
              <w:tabs>
                <w:tab w:val="left" w:pos="6660"/>
              </w:tabs>
              <w:snapToGrid w:val="0"/>
              <w:spacing w:after="200"/>
              <w:rPr>
                <w:b/>
                <w:bCs/>
              </w:rPr>
            </w:pPr>
            <w:r w:rsidRPr="00665C2D">
              <w:rPr>
                <w:b/>
                <w:bCs/>
              </w:rPr>
              <w:t xml:space="preserve">1. Název návrhu zákona: </w:t>
            </w:r>
          </w:p>
          <w:p w:rsidR="0068724C" w:rsidRPr="00777926" w:rsidRDefault="003037EA" w:rsidP="00A86DE4">
            <w:pPr>
              <w:tabs>
                <w:tab w:val="left" w:pos="9356"/>
              </w:tabs>
              <w:spacing w:after="120"/>
              <w:jc w:val="both"/>
              <w:outlineLvl w:val="4"/>
            </w:pPr>
            <w:r w:rsidRPr="00F0217D">
              <w:t xml:space="preserve">Návrh </w:t>
            </w:r>
            <w:r>
              <w:t>z</w:t>
            </w:r>
            <w:r w:rsidRPr="00FF2CBB">
              <w:t>ákon</w:t>
            </w:r>
            <w:r>
              <w:t>a</w:t>
            </w:r>
            <w:r w:rsidRPr="00FF2CBB">
              <w:t xml:space="preserve">, </w:t>
            </w:r>
            <w:r w:rsidRPr="003037EA">
              <w:t xml:space="preserve">kterým se mění zákon č. 561/2004 Sb., o předškolním, základním, středním, vyšším odborném a jiném vzdělávání (školský zákon), ve znění pozdějších předpisů, </w:t>
            </w:r>
            <w:r w:rsidR="00395AA1" w:rsidRPr="00395AA1">
              <w:t>a zákon č. 359/1999 Sb., o sociálně-právní ochraně dětí, ve znění pozdějších předpisů</w:t>
            </w:r>
          </w:p>
        </w:tc>
      </w:tr>
      <w:tr w:rsidR="0068724C" w:rsidRPr="00665C2D" w:rsidTr="002E01DD">
        <w:trPr>
          <w:trHeight w:val="979"/>
        </w:trPr>
        <w:tc>
          <w:tcPr>
            <w:tcW w:w="4766" w:type="dxa"/>
            <w:tcBorders>
              <w:top w:val="single" w:sz="4" w:space="0" w:color="000000"/>
              <w:left w:val="single" w:sz="8" w:space="0" w:color="000000"/>
              <w:bottom w:val="single" w:sz="4" w:space="0" w:color="000000"/>
            </w:tcBorders>
            <w:vAlign w:val="center"/>
          </w:tcPr>
          <w:p w:rsidR="0068724C" w:rsidRPr="00665C2D" w:rsidRDefault="0068724C" w:rsidP="00F0217D">
            <w:pPr>
              <w:tabs>
                <w:tab w:val="left" w:pos="6660"/>
              </w:tabs>
              <w:snapToGrid w:val="0"/>
              <w:spacing w:after="200"/>
              <w:jc w:val="center"/>
              <w:rPr>
                <w:b/>
                <w:bCs/>
              </w:rPr>
            </w:pPr>
            <w:r w:rsidRPr="00665C2D">
              <w:rPr>
                <w:b/>
                <w:bCs/>
              </w:rPr>
              <w:t>Zpracovatel / zástupce předkladatele:</w:t>
            </w:r>
          </w:p>
          <w:p w:rsidR="0068724C" w:rsidRPr="00665C2D" w:rsidRDefault="00777926" w:rsidP="002E01DD">
            <w:pPr>
              <w:tabs>
                <w:tab w:val="left" w:pos="6660"/>
              </w:tabs>
              <w:rPr>
                <w:b/>
                <w:bCs/>
                <w:u w:val="single"/>
              </w:rPr>
            </w:pPr>
            <w:r>
              <w:rPr>
                <w:bCs/>
              </w:rPr>
              <w:t>Ministerstvo školství, mládeže a tělovýchovy</w:t>
            </w:r>
          </w:p>
        </w:tc>
        <w:tc>
          <w:tcPr>
            <w:tcW w:w="5032" w:type="dxa"/>
            <w:tcBorders>
              <w:top w:val="single" w:sz="4" w:space="0" w:color="000000"/>
              <w:left w:val="single" w:sz="4" w:space="0" w:color="000000"/>
              <w:bottom w:val="single" w:sz="4" w:space="0" w:color="000000"/>
              <w:right w:val="single" w:sz="8" w:space="0" w:color="000000"/>
            </w:tcBorders>
            <w:vAlign w:val="center"/>
          </w:tcPr>
          <w:p w:rsidR="002E01DD" w:rsidRDefault="0068724C" w:rsidP="00F0217D">
            <w:pPr>
              <w:tabs>
                <w:tab w:val="left" w:pos="6660"/>
              </w:tabs>
              <w:snapToGrid w:val="0"/>
              <w:jc w:val="center"/>
              <w:rPr>
                <w:b/>
                <w:bCs/>
              </w:rPr>
            </w:pPr>
            <w:r w:rsidRPr="00665C2D">
              <w:rPr>
                <w:b/>
                <w:bCs/>
              </w:rPr>
              <w:t>Předpokládaný termín nabytí účinnosti</w:t>
            </w:r>
            <w:r w:rsidR="002E01DD">
              <w:rPr>
                <w:b/>
                <w:bCs/>
              </w:rPr>
              <w:t>:</w:t>
            </w:r>
          </w:p>
          <w:p w:rsidR="0068724C" w:rsidRPr="00665C2D" w:rsidRDefault="0068724C" w:rsidP="002E01DD">
            <w:pPr>
              <w:tabs>
                <w:tab w:val="left" w:pos="6660"/>
              </w:tabs>
              <w:snapToGrid w:val="0"/>
              <w:rPr>
                <w:b/>
                <w:bCs/>
              </w:rPr>
            </w:pPr>
          </w:p>
          <w:p w:rsidR="0068724C" w:rsidRPr="00665C2D" w:rsidRDefault="00E35F29" w:rsidP="000C0044">
            <w:pPr>
              <w:shd w:val="clear" w:color="auto" w:fill="FFFFFF"/>
              <w:rPr>
                <w:iCs/>
              </w:rPr>
            </w:pPr>
            <w:r>
              <w:rPr>
                <w:spacing w:val="-2"/>
              </w:rPr>
              <w:t>1. 1</w:t>
            </w:r>
            <w:r w:rsidR="0072377D">
              <w:rPr>
                <w:spacing w:val="-2"/>
              </w:rPr>
              <w:t xml:space="preserve">. </w:t>
            </w:r>
            <w:r w:rsidR="003037EA">
              <w:rPr>
                <w:spacing w:val="-2"/>
              </w:rPr>
              <w:t>202</w:t>
            </w:r>
            <w:r>
              <w:rPr>
                <w:spacing w:val="-2"/>
              </w:rPr>
              <w:t>1</w:t>
            </w:r>
            <w:bookmarkStart w:id="0" w:name="_GoBack"/>
            <w:bookmarkEnd w:id="0"/>
          </w:p>
        </w:tc>
      </w:tr>
      <w:tr w:rsidR="0068724C" w:rsidRPr="00665C2D" w:rsidTr="002E01DD">
        <w:trPr>
          <w:trHeight w:val="1318"/>
        </w:trPr>
        <w:tc>
          <w:tcPr>
            <w:tcW w:w="9798" w:type="dxa"/>
            <w:gridSpan w:val="2"/>
            <w:tcBorders>
              <w:top w:val="single" w:sz="8" w:space="0" w:color="000000"/>
              <w:left w:val="single" w:sz="8" w:space="0" w:color="000000"/>
              <w:bottom w:val="single" w:sz="4" w:space="0" w:color="000000"/>
              <w:right w:val="single" w:sz="8" w:space="0" w:color="000000"/>
            </w:tcBorders>
            <w:vAlign w:val="center"/>
          </w:tcPr>
          <w:p w:rsidR="0068724C" w:rsidRPr="00665C2D" w:rsidRDefault="0068724C" w:rsidP="00C052EF">
            <w:pPr>
              <w:tabs>
                <w:tab w:val="left" w:pos="6660"/>
              </w:tabs>
              <w:snapToGrid w:val="0"/>
              <w:rPr>
                <w:bCs/>
              </w:rPr>
            </w:pPr>
            <w:r w:rsidRPr="00665C2D">
              <w:rPr>
                <w:b/>
                <w:bCs/>
              </w:rPr>
              <w:t xml:space="preserve">Implementace práva EU: </w:t>
            </w:r>
            <w:r w:rsidRPr="00665C2D">
              <w:t>NE</w:t>
            </w:r>
          </w:p>
        </w:tc>
      </w:tr>
      <w:tr w:rsidR="0068724C" w:rsidRPr="00665C2D" w:rsidTr="002E01DD">
        <w:trPr>
          <w:trHeight w:val="476"/>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6660"/>
              </w:tabs>
              <w:snapToGrid w:val="0"/>
              <w:spacing w:after="200"/>
              <w:rPr>
                <w:b/>
                <w:bCs/>
              </w:rPr>
            </w:pPr>
            <w:r w:rsidRPr="00665C2D">
              <w:rPr>
                <w:b/>
                <w:bCs/>
              </w:rPr>
              <w:t xml:space="preserve">2. Cíl návrhu zákona </w:t>
            </w:r>
          </w:p>
        </w:tc>
      </w:tr>
      <w:tr w:rsidR="0068724C" w:rsidRPr="00665C2D" w:rsidTr="002E01DD">
        <w:trPr>
          <w:trHeight w:val="516"/>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FFFFFF"/>
          </w:tcPr>
          <w:p w:rsidR="00A86DE4" w:rsidRPr="00723848" w:rsidRDefault="00546968" w:rsidP="000C0044">
            <w:pPr>
              <w:tabs>
                <w:tab w:val="left" w:pos="6660"/>
              </w:tabs>
              <w:spacing w:after="120"/>
              <w:ind w:left="37"/>
              <w:jc w:val="both"/>
              <w:rPr>
                <w:bCs/>
              </w:rPr>
            </w:pPr>
            <w:r w:rsidRPr="00723848">
              <w:rPr>
                <w:bCs/>
              </w:rPr>
              <w:t>P</w:t>
            </w:r>
            <w:r w:rsidR="00A45E54" w:rsidRPr="00723848">
              <w:rPr>
                <w:bCs/>
              </w:rPr>
              <w:t>oskytování služeb školských poradenských za</w:t>
            </w:r>
            <w:r w:rsidR="00A45E54" w:rsidRPr="00741828">
              <w:rPr>
                <w:bCs/>
              </w:rPr>
              <w:t xml:space="preserve">řízení </w:t>
            </w:r>
            <w:r w:rsidRPr="00741828">
              <w:rPr>
                <w:bCs/>
              </w:rPr>
              <w:t xml:space="preserve">(dále ŠPZ) </w:t>
            </w:r>
            <w:r w:rsidR="00A45E54" w:rsidRPr="00723848">
              <w:rPr>
                <w:bCs/>
              </w:rPr>
              <w:t>je organizováno odlišně v </w:t>
            </w:r>
            <w:r w:rsidR="00F070B0">
              <w:rPr>
                <w:bCs/>
              </w:rPr>
              <w:t>jednotlivých</w:t>
            </w:r>
            <w:r w:rsidR="00A45E54" w:rsidRPr="00723848">
              <w:rPr>
                <w:bCs/>
              </w:rPr>
              <w:t xml:space="preserve"> krajích, rozdíly vedou k prohlubování různosti organizace služeb a komplikují jednotný přístup ke všem žákům ve vzdělávacím systému ČR. Rovněž byly zjištěny významné rozdíly ve</w:t>
            </w:r>
            <w:r w:rsidR="00000BB0" w:rsidRPr="00723848">
              <w:rPr>
                <w:bCs/>
              </w:rPr>
              <w:t> </w:t>
            </w:r>
            <w:r w:rsidR="00A45E54" w:rsidRPr="00723848">
              <w:rPr>
                <w:bCs/>
              </w:rPr>
              <w:t>skladbě doporučovaných podpůrných opatření (včetně pedagogické intervence) u stejných druhů znevýhodnění, kdy se počet podpůrných opatření na jednoho žáka pohyboval od 1 do 19 podpůrných opatření. Současně není dostatečně v oblasti doporučování podpůrných opatření nastaven systém kontroly rozdělování finančních prostředků státního rozpočtu. Navrh</w:t>
            </w:r>
            <w:r w:rsidR="00F070B0">
              <w:rPr>
                <w:bCs/>
              </w:rPr>
              <w:t>ován je</w:t>
            </w:r>
            <w:r w:rsidR="00A45E54" w:rsidRPr="00723848">
              <w:rPr>
                <w:bCs/>
              </w:rPr>
              <w:t xml:space="preserve"> proto vznik posuzující</w:t>
            </w:r>
            <w:r w:rsidR="00F070B0">
              <w:rPr>
                <w:bCs/>
              </w:rPr>
              <w:t>ch</w:t>
            </w:r>
            <w:r w:rsidR="00A45E54" w:rsidRPr="00723848">
              <w:rPr>
                <w:bCs/>
              </w:rPr>
              <w:t xml:space="preserve"> pracoviš</w:t>
            </w:r>
            <w:r w:rsidR="00F070B0">
              <w:rPr>
                <w:bCs/>
              </w:rPr>
              <w:t>ť</w:t>
            </w:r>
            <w:r w:rsidR="00A45E54" w:rsidRPr="00723848">
              <w:rPr>
                <w:bCs/>
              </w:rPr>
              <w:t xml:space="preserve">, </w:t>
            </w:r>
            <w:r w:rsidR="00723848">
              <w:rPr>
                <w:bCs/>
              </w:rPr>
              <w:t>zříze</w:t>
            </w:r>
            <w:r w:rsidR="00723848" w:rsidRPr="00723848">
              <w:rPr>
                <w:bCs/>
              </w:rPr>
              <w:t>ných Ministerstvem školství mládeže tělovýchovy (dále ministerstvo)</w:t>
            </w:r>
            <w:r w:rsidR="00723848">
              <w:rPr>
                <w:bCs/>
              </w:rPr>
              <w:t>,</w:t>
            </w:r>
            <w:r w:rsidR="00723848" w:rsidRPr="00723848">
              <w:rPr>
                <w:bCs/>
              </w:rPr>
              <w:t xml:space="preserve"> </w:t>
            </w:r>
            <w:r w:rsidR="00A45E54" w:rsidRPr="00723848">
              <w:rPr>
                <w:bCs/>
              </w:rPr>
              <w:t xml:space="preserve">které sjednotí postup </w:t>
            </w:r>
            <w:r w:rsidR="00723848">
              <w:rPr>
                <w:bCs/>
              </w:rPr>
              <w:t xml:space="preserve">doporučování </w:t>
            </w:r>
            <w:r w:rsidR="00A45E54" w:rsidRPr="00723848">
              <w:rPr>
                <w:bCs/>
              </w:rPr>
              <w:t>podpůrných opatření</w:t>
            </w:r>
            <w:r w:rsidR="00723848">
              <w:rPr>
                <w:bCs/>
              </w:rPr>
              <w:t>.</w:t>
            </w:r>
            <w:r w:rsidR="00A45E54" w:rsidRPr="00723848">
              <w:rPr>
                <w:bCs/>
              </w:rPr>
              <w:t xml:space="preserve"> </w:t>
            </w:r>
            <w:r w:rsidRPr="00723848">
              <w:rPr>
                <w:bCs/>
              </w:rPr>
              <w:t xml:space="preserve">K zajištění jednotného postupu </w:t>
            </w:r>
            <w:r w:rsidR="00F37C8D" w:rsidRPr="00723848">
              <w:rPr>
                <w:bCs/>
              </w:rPr>
              <w:t xml:space="preserve">ŠPZ při zpracování doporučení upravuje </w:t>
            </w:r>
            <w:r w:rsidR="00F070B0">
              <w:rPr>
                <w:bCs/>
              </w:rPr>
              <w:t xml:space="preserve">také </w:t>
            </w:r>
            <w:r w:rsidR="00F37C8D" w:rsidRPr="00723848">
              <w:rPr>
                <w:bCs/>
              </w:rPr>
              <w:t>předkladatel v návrhu zmocnění ke specifikaci okruhu využívaných diagnostických nástrojů</w:t>
            </w:r>
            <w:r w:rsidR="00723848">
              <w:rPr>
                <w:bCs/>
              </w:rPr>
              <w:t xml:space="preserve"> a pravidel jejich použití</w:t>
            </w:r>
            <w:r w:rsidR="00F37C8D" w:rsidRPr="00723848">
              <w:rPr>
                <w:bCs/>
              </w:rPr>
              <w:t>. V souladu s dlouhodobým cílem snižování administrativní zátěže spojené se</w:t>
            </w:r>
            <w:r w:rsidR="00037BE2">
              <w:rPr>
                <w:bCs/>
              </w:rPr>
              <w:t> </w:t>
            </w:r>
            <w:r w:rsidR="00F37C8D" w:rsidRPr="00723848">
              <w:rPr>
                <w:bCs/>
              </w:rPr>
              <w:t xml:space="preserve">vzděláváním žáků se speciálními vzdělávacími potřebami je v návrhu vymezeno, kdy je podmínkou poskytování podpůrného opatření písemný informovaný souhlas a </w:t>
            </w:r>
            <w:r w:rsidR="00F070B0">
              <w:rPr>
                <w:bCs/>
              </w:rPr>
              <w:t>rovněž</w:t>
            </w:r>
            <w:r w:rsidR="000C0044">
              <w:rPr>
                <w:bCs/>
              </w:rPr>
              <w:t>,</w:t>
            </w:r>
            <w:r w:rsidR="00F070B0">
              <w:rPr>
                <w:bCs/>
              </w:rPr>
              <w:t xml:space="preserve"> </w:t>
            </w:r>
            <w:r w:rsidR="00F37C8D" w:rsidRPr="00723848">
              <w:rPr>
                <w:bCs/>
              </w:rPr>
              <w:t xml:space="preserve">kdy je vzdělávání podle individuálního vzdělávacího plánu povolováno </w:t>
            </w:r>
            <w:r w:rsidR="00723848" w:rsidRPr="00723848">
              <w:rPr>
                <w:bCs/>
              </w:rPr>
              <w:t xml:space="preserve">ředitelem školy </w:t>
            </w:r>
            <w:r w:rsidR="00F37C8D" w:rsidRPr="00723848">
              <w:rPr>
                <w:bCs/>
              </w:rPr>
              <w:t xml:space="preserve">ve správním řízení. </w:t>
            </w:r>
            <w:r w:rsidR="005950D9">
              <w:rPr>
                <w:bCs/>
              </w:rPr>
              <w:t>M</w:t>
            </w:r>
            <w:r w:rsidR="00723848" w:rsidRPr="00723848">
              <w:rPr>
                <w:bCs/>
              </w:rPr>
              <w:t xml:space="preserve">inisterstvo navrhuje </w:t>
            </w:r>
            <w:r w:rsidR="005950D9">
              <w:rPr>
                <w:bCs/>
              </w:rPr>
              <w:t xml:space="preserve">zakotvit možnost poskytnutí poradenské služby </w:t>
            </w:r>
            <w:r w:rsidR="009E7225">
              <w:rPr>
                <w:bCs/>
              </w:rPr>
              <w:t xml:space="preserve">v případě nečinnosti zákonného zástupce přímo </w:t>
            </w:r>
            <w:r w:rsidR="00723848" w:rsidRPr="00723848">
              <w:rPr>
                <w:bCs/>
              </w:rPr>
              <w:t>ve škole či školském zařízení</w:t>
            </w:r>
            <w:r w:rsidR="005950D9">
              <w:rPr>
                <w:bCs/>
              </w:rPr>
              <w:t xml:space="preserve">, </w:t>
            </w:r>
            <w:r w:rsidR="000C0044">
              <w:rPr>
                <w:bCs/>
              </w:rPr>
              <w:br/>
            </w:r>
            <w:r w:rsidR="005950D9">
              <w:rPr>
                <w:bCs/>
              </w:rPr>
              <w:t>je-li to v nejlepším zájmu žáka. Zákon dále</w:t>
            </w:r>
            <w:r w:rsidR="00723848" w:rsidRPr="00723848">
              <w:rPr>
                <w:bCs/>
              </w:rPr>
              <w:t xml:space="preserve"> </w:t>
            </w:r>
            <w:r w:rsidR="00F070B0">
              <w:rPr>
                <w:bCs/>
              </w:rPr>
              <w:t xml:space="preserve">podporuje </w:t>
            </w:r>
            <w:r w:rsidR="00723848" w:rsidRPr="00723848">
              <w:rPr>
                <w:bCs/>
              </w:rPr>
              <w:t xml:space="preserve">vzájemnou informovanost </w:t>
            </w:r>
            <w:r w:rsidR="005950D9">
              <w:rPr>
                <w:bCs/>
              </w:rPr>
              <w:t>škol nebo školských zařízení a orgánů</w:t>
            </w:r>
            <w:r w:rsidR="005950D9" w:rsidRPr="00723848">
              <w:rPr>
                <w:bCs/>
              </w:rPr>
              <w:t xml:space="preserve"> sociálně</w:t>
            </w:r>
            <w:r w:rsidR="005950D9">
              <w:rPr>
                <w:bCs/>
              </w:rPr>
              <w:t>-</w:t>
            </w:r>
            <w:r w:rsidR="005950D9" w:rsidRPr="00723848">
              <w:rPr>
                <w:bCs/>
              </w:rPr>
              <w:t xml:space="preserve">právní ochrany dětí </w:t>
            </w:r>
            <w:r w:rsidR="00723848" w:rsidRPr="00723848">
              <w:rPr>
                <w:bCs/>
              </w:rPr>
              <w:t xml:space="preserve">při zajištění optimálních vzdělávacích podmínek </w:t>
            </w:r>
            <w:r w:rsidR="00723848" w:rsidRPr="000C0044">
              <w:t>a</w:t>
            </w:r>
            <w:r w:rsidR="000C0044">
              <w:t> </w:t>
            </w:r>
            <w:r w:rsidR="00F070B0" w:rsidRPr="000C0044">
              <w:t>nastavení</w:t>
            </w:r>
            <w:r w:rsidR="00F070B0">
              <w:rPr>
                <w:bCs/>
              </w:rPr>
              <w:t xml:space="preserve"> </w:t>
            </w:r>
            <w:r w:rsidR="00723848" w:rsidRPr="00723848">
              <w:rPr>
                <w:bCs/>
              </w:rPr>
              <w:t>podpůrných opatření</w:t>
            </w:r>
            <w:r w:rsidR="009E7225">
              <w:rPr>
                <w:bCs/>
              </w:rPr>
              <w:t xml:space="preserve"> žákům se speciálními vzdělávacími potřebami</w:t>
            </w:r>
            <w:r w:rsidR="00723848" w:rsidRPr="00723848">
              <w:rPr>
                <w:bCs/>
              </w:rPr>
              <w:t>.</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68724C" w:rsidRPr="00665C2D" w:rsidRDefault="0068724C" w:rsidP="002E01DD">
            <w:pPr>
              <w:tabs>
                <w:tab w:val="left" w:pos="1037"/>
              </w:tabs>
              <w:snapToGrid w:val="0"/>
              <w:spacing w:after="200"/>
              <w:rPr>
                <w:b/>
                <w:bCs/>
              </w:rPr>
            </w:pPr>
            <w:r w:rsidRPr="00665C2D">
              <w:rPr>
                <w:b/>
                <w:bCs/>
              </w:rPr>
              <w:t xml:space="preserve">3. </w:t>
            </w:r>
            <w:r w:rsidRPr="00665C2D">
              <w:rPr>
                <w:b/>
              </w:rPr>
              <w:t>Agregované</w:t>
            </w:r>
            <w:r w:rsidRPr="00665C2D">
              <w:rPr>
                <w:b/>
                <w:bCs/>
              </w:rPr>
              <w:t xml:space="preserve"> dopady návrhu zákona   </w:t>
            </w:r>
          </w:p>
        </w:tc>
      </w:tr>
      <w:tr w:rsidR="0068724C" w:rsidRPr="00665C2D" w:rsidTr="002E01DD">
        <w:trPr>
          <w:trHeight w:val="430"/>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68724C" w:rsidRPr="00665C2D" w:rsidRDefault="0068724C" w:rsidP="002E01DD">
            <w:pPr>
              <w:tabs>
                <w:tab w:val="left" w:pos="1037"/>
              </w:tabs>
              <w:snapToGrid w:val="0"/>
              <w:spacing w:after="200"/>
              <w:rPr>
                <w:b/>
                <w:bCs/>
              </w:rPr>
            </w:pPr>
            <w:r w:rsidRPr="00665C2D">
              <w:rPr>
                <w:b/>
                <w:bCs/>
              </w:rPr>
              <w:t xml:space="preserve">3.1 Dopady na státní rozpočet a ostatní veřejné rozpočty: </w:t>
            </w:r>
            <w:r w:rsidRPr="00665C2D">
              <w:rPr>
                <w:bCs/>
              </w:rPr>
              <w:t>ANO</w:t>
            </w:r>
          </w:p>
        </w:tc>
      </w:tr>
      <w:tr w:rsidR="0068724C" w:rsidRPr="00665C2D" w:rsidTr="002E01DD">
        <w:trPr>
          <w:trHeight w:val="430"/>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FFFFFF"/>
          </w:tcPr>
          <w:p w:rsidR="00A37ECA" w:rsidRPr="00665C2D" w:rsidRDefault="00A37ECA" w:rsidP="00D83386">
            <w:pPr>
              <w:suppressAutoHyphens/>
              <w:jc w:val="both"/>
            </w:pPr>
            <w:r w:rsidRPr="00A37ECA">
              <w:t>Všechny dopady na státní rozpočet budou zabezpečeny v rámci schválených rozpočtů kapitoly resortu školství</w:t>
            </w:r>
            <w:r w:rsidR="00D329A8">
              <w:t xml:space="preserve"> (viz bod 3.1.2</w:t>
            </w:r>
            <w:r w:rsidRPr="00A37ECA">
              <w:t>.</w:t>
            </w:r>
            <w:r w:rsidR="00D329A8">
              <w:t>).</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
                <w:bCs/>
              </w:rPr>
            </w:pPr>
            <w:r w:rsidRPr="00665C2D">
              <w:rPr>
                <w:b/>
                <w:bCs/>
              </w:rPr>
              <w:t xml:space="preserve">3.2 Dopady na mezinárodní konkurenceschopnost ČR: </w:t>
            </w:r>
            <w:r w:rsidRPr="00665C2D">
              <w:rPr>
                <w:bCs/>
              </w:rPr>
              <w:t xml:space="preserve"> NE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68724C" w:rsidRPr="00665C2D" w:rsidRDefault="0068724C" w:rsidP="002E01DD">
            <w:pPr>
              <w:tabs>
                <w:tab w:val="left" w:pos="1037"/>
              </w:tabs>
              <w:snapToGrid w:val="0"/>
              <w:spacing w:after="200"/>
              <w:rPr>
                <w:bCs/>
              </w:rPr>
            </w:pPr>
            <w:r w:rsidRPr="00665C2D">
              <w:rPr>
                <w:bCs/>
              </w:rPr>
              <w:t>Nepředpokládají se dopady na mezinárodní konkurenceschopnost ČR.</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
                <w:bCs/>
              </w:rPr>
            </w:pPr>
            <w:r w:rsidRPr="00665C2D">
              <w:rPr>
                <w:b/>
                <w:bCs/>
              </w:rPr>
              <w:lastRenderedPageBreak/>
              <w:t xml:space="preserve">3.3 Dopady na podnikatelské prostředí: </w:t>
            </w:r>
            <w:r w:rsidR="00A37ECA">
              <w:t>NE</w:t>
            </w:r>
          </w:p>
        </w:tc>
      </w:tr>
      <w:tr w:rsidR="0068724C" w:rsidRPr="00665C2D" w:rsidTr="002E01DD">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68724C" w:rsidRPr="00665C2D" w:rsidRDefault="00A37ECA" w:rsidP="000E5201">
            <w:pPr>
              <w:spacing w:line="276" w:lineRule="auto"/>
              <w:jc w:val="both"/>
              <w:rPr>
                <w:bCs/>
              </w:rPr>
            </w:pPr>
            <w:r>
              <w:t xml:space="preserve">Nepředpokládají se hospodářské </w:t>
            </w:r>
            <w:r w:rsidR="0068724C" w:rsidRPr="00665C2D">
              <w:t>a finanční dopad</w:t>
            </w:r>
            <w:r>
              <w:t>y</w:t>
            </w:r>
            <w:r w:rsidR="0068724C" w:rsidRPr="00665C2D">
              <w:t xml:space="preserve"> na </w:t>
            </w:r>
            <w:r>
              <w:t>podnikatelské prostředí.</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5743D8">
            <w:pPr>
              <w:tabs>
                <w:tab w:val="left" w:pos="1037"/>
              </w:tabs>
              <w:snapToGrid w:val="0"/>
              <w:spacing w:after="200"/>
              <w:rPr>
                <w:b/>
                <w:bCs/>
              </w:rPr>
            </w:pPr>
            <w:r w:rsidRPr="00665C2D">
              <w:rPr>
                <w:b/>
                <w:bCs/>
              </w:rPr>
              <w:t xml:space="preserve">3.4 Dopady na územní samosprávné celky (obce, kraje): </w:t>
            </w:r>
            <w:r w:rsidR="005743D8">
              <w:rPr>
                <w:bCs/>
              </w:rPr>
              <w:t>N</w:t>
            </w:r>
            <w:r w:rsidR="00B529B5">
              <w:rPr>
                <w:bCs/>
              </w:rPr>
              <w:t>E</w:t>
            </w:r>
            <w:r w:rsidRPr="00665C2D">
              <w:rPr>
                <w:bCs/>
              </w:rPr>
              <w:t xml:space="preserve"> </w:t>
            </w:r>
          </w:p>
        </w:tc>
      </w:tr>
      <w:tr w:rsidR="0068724C" w:rsidRPr="00665C2D" w:rsidTr="002E01DD">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68724C" w:rsidRPr="00665C2D" w:rsidRDefault="00000BB0" w:rsidP="00000BB0">
            <w:pPr>
              <w:spacing w:after="240"/>
              <w:jc w:val="both"/>
              <w:rPr>
                <w:bCs/>
              </w:rPr>
            </w:pPr>
            <w:r w:rsidRPr="00000BB0">
              <w:rPr>
                <w:bCs/>
              </w:rPr>
              <w:t>Nepředpokládají se dopady na územní samosprávné celky.</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 w:val="left" w:pos="3970"/>
              </w:tabs>
              <w:snapToGrid w:val="0"/>
              <w:spacing w:after="200"/>
              <w:rPr>
                <w:b/>
                <w:bCs/>
              </w:rPr>
            </w:pPr>
            <w:r w:rsidRPr="00665C2D">
              <w:rPr>
                <w:b/>
                <w:bCs/>
              </w:rPr>
              <w:t xml:space="preserve">3.5 Sociální dopady: </w:t>
            </w:r>
            <w:r w:rsidR="00454E0D">
              <w:rPr>
                <w:bCs/>
              </w:rPr>
              <w:t>ANO</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tcPr>
          <w:p w:rsidR="0068724C" w:rsidRPr="00B9294D" w:rsidRDefault="00112FD2" w:rsidP="004133BB">
            <w:pPr>
              <w:spacing w:after="240"/>
              <w:jc w:val="both"/>
              <w:rPr>
                <w:bCs/>
              </w:rPr>
            </w:pPr>
            <w:r w:rsidRPr="00112FD2">
              <w:t xml:space="preserve">Změny řízení </w:t>
            </w:r>
            <w:r w:rsidR="005950D9">
              <w:t>ŠPZ</w:t>
            </w:r>
            <w:r w:rsidRPr="00112FD2">
              <w:t xml:space="preserve"> budou mít pozitivní sociální dopad na rodiny s dětmi se speciálními vzdělávacími potřebami. V rámci narovnání mezikrajových rozdílů dojde k jistotě v zajištění rovných podmínek při doporučování podpůrných opatření v systému </w:t>
            </w:r>
            <w:r w:rsidR="005950D9">
              <w:t>ŠPZ</w:t>
            </w:r>
            <w:r w:rsidRPr="00112FD2">
              <w:t>.</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Cs/>
              </w:rPr>
            </w:pPr>
            <w:r w:rsidRPr="00665C2D">
              <w:rPr>
                <w:b/>
                <w:bCs/>
              </w:rPr>
              <w:t xml:space="preserve">3.6 Dopady na spotřebitele: </w:t>
            </w:r>
            <w:r w:rsidR="00B9294D">
              <w:rPr>
                <w:bCs/>
              </w:rPr>
              <w:t>N</w:t>
            </w:r>
            <w:r w:rsidR="00454E0D">
              <w:rPr>
                <w:bCs/>
              </w:rPr>
              <w:t>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auto"/>
          </w:tcPr>
          <w:p w:rsidR="0068724C" w:rsidRPr="00665C2D" w:rsidRDefault="00B9294D" w:rsidP="00B9294D">
            <w:pPr>
              <w:jc w:val="both"/>
              <w:rPr>
                <w:bCs/>
              </w:rPr>
            </w:pPr>
            <w:r>
              <w:rPr>
                <w:bCs/>
              </w:rPr>
              <w:t>Návrh zákona nezpůsobí žádné dopady na spotřebitele.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Cs/>
              </w:rPr>
            </w:pPr>
            <w:r w:rsidRPr="00665C2D">
              <w:rPr>
                <w:b/>
                <w:bCs/>
              </w:rPr>
              <w:t xml:space="preserve">3.7 Dopady na životní prostředí: </w:t>
            </w:r>
            <w:r w:rsidRPr="00665C2D">
              <w:rPr>
                <w:bCs/>
              </w:rPr>
              <w:t>NE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68724C" w:rsidRPr="00665C2D" w:rsidRDefault="00B9294D" w:rsidP="002E01DD">
            <w:pPr>
              <w:tabs>
                <w:tab w:val="left" w:pos="1037"/>
              </w:tabs>
              <w:snapToGrid w:val="0"/>
              <w:spacing w:after="200"/>
              <w:rPr>
                <w:b/>
                <w:bCs/>
              </w:rPr>
            </w:pPr>
            <w:r>
              <w:rPr>
                <w:bCs/>
              </w:rPr>
              <w:t>Návrh zákona nezpůsobí žádné dopady na životní prostředí.</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Cs/>
              </w:rPr>
            </w:pPr>
            <w:r w:rsidRPr="00665C2D">
              <w:rPr>
                <w:b/>
                <w:bCs/>
              </w:rPr>
              <w:t xml:space="preserve">3.8 Dopady ke vztahu k zákazu diskriminace a ve vztahu k rovnosti žen a mužů: </w:t>
            </w:r>
            <w:r w:rsidRPr="00665C2D">
              <w:rPr>
                <w:bCs/>
              </w:rPr>
              <w:t>NE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68724C" w:rsidRPr="00665C2D" w:rsidRDefault="00B9294D" w:rsidP="002E01DD">
            <w:pPr>
              <w:tabs>
                <w:tab w:val="left" w:pos="1037"/>
              </w:tabs>
              <w:snapToGrid w:val="0"/>
              <w:spacing w:after="200"/>
              <w:rPr>
                <w:b/>
                <w:bCs/>
              </w:rPr>
            </w:pPr>
            <w:r>
              <w:rPr>
                <w:bCs/>
              </w:rPr>
              <w:t>Návrh zákona nezpůsobí žádné dopady ve vztahu k zákazu diskriminace a ve vztahu k rovnosti mužů a žen.</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2E01DD">
            <w:pPr>
              <w:tabs>
                <w:tab w:val="left" w:pos="1037"/>
              </w:tabs>
              <w:snapToGrid w:val="0"/>
              <w:spacing w:after="200"/>
              <w:rPr>
                <w:b/>
                <w:bCs/>
              </w:rPr>
            </w:pPr>
            <w:r w:rsidRPr="00665C2D">
              <w:rPr>
                <w:b/>
                <w:bCs/>
              </w:rPr>
              <w:t xml:space="preserve">3.9 Dopady na výkon státní statistické služby: </w:t>
            </w:r>
            <w:r w:rsidRPr="00665C2D">
              <w:rPr>
                <w:bCs/>
              </w:rPr>
              <w:t>NE</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08704E" w:rsidRPr="00665C2D" w:rsidRDefault="00000BB0">
            <w:pPr>
              <w:suppressAutoHyphens/>
              <w:jc w:val="both"/>
              <w:rPr>
                <w:bCs/>
              </w:rPr>
            </w:pPr>
            <w:r>
              <w:rPr>
                <w:bCs/>
              </w:rPr>
              <w:t>Nepředpokládají se dopady na výkon státní statistické služby.</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8724C" w:rsidRPr="00665C2D" w:rsidRDefault="0068724C" w:rsidP="00000BB0">
            <w:pPr>
              <w:tabs>
                <w:tab w:val="left" w:pos="1037"/>
              </w:tabs>
              <w:snapToGrid w:val="0"/>
              <w:spacing w:after="200"/>
              <w:rPr>
                <w:b/>
                <w:bCs/>
              </w:rPr>
            </w:pPr>
            <w:r w:rsidRPr="00665C2D">
              <w:rPr>
                <w:b/>
                <w:bCs/>
              </w:rPr>
              <w:t xml:space="preserve">3.10 Korupční rizika: </w:t>
            </w:r>
            <w:r w:rsidR="000E5201">
              <w:rPr>
                <w:bCs/>
              </w:rPr>
              <w:t>N</w:t>
            </w:r>
            <w:r w:rsidR="00000BB0">
              <w:rPr>
                <w:bCs/>
              </w:rPr>
              <w:t>E</w:t>
            </w:r>
            <w:r w:rsidR="000E5201">
              <w:rPr>
                <w:bCs/>
              </w:rPr>
              <w:t>.</w:t>
            </w:r>
          </w:p>
        </w:tc>
      </w:tr>
      <w:tr w:rsidR="0068724C" w:rsidRPr="00665C2D" w:rsidTr="002E01DD">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68724C" w:rsidRPr="00665C2D" w:rsidRDefault="000E5201" w:rsidP="00F0217D">
            <w:pPr>
              <w:tabs>
                <w:tab w:val="left" w:pos="1037"/>
              </w:tabs>
              <w:snapToGrid w:val="0"/>
              <w:spacing w:after="200"/>
              <w:rPr>
                <w:b/>
                <w:bCs/>
              </w:rPr>
            </w:pPr>
            <w:r>
              <w:t>Nepředpokládají se korupční rizika.</w:t>
            </w:r>
          </w:p>
        </w:tc>
      </w:tr>
      <w:tr w:rsidR="0068724C" w:rsidRPr="00665C2D" w:rsidTr="000C0044">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68724C" w:rsidRPr="00665C2D" w:rsidRDefault="0068724C" w:rsidP="000C0044">
            <w:pPr>
              <w:tabs>
                <w:tab w:val="left" w:pos="1037"/>
              </w:tabs>
              <w:snapToGrid w:val="0"/>
              <w:spacing w:after="200"/>
              <w:rPr>
                <w:b/>
                <w:bCs/>
              </w:rPr>
            </w:pPr>
            <w:r w:rsidRPr="00665C2D">
              <w:rPr>
                <w:b/>
                <w:bCs/>
              </w:rPr>
              <w:t xml:space="preserve">3.11 Dopady na bezpečnost nebo obranu státu: </w:t>
            </w:r>
            <w:r w:rsidRPr="00665C2D">
              <w:rPr>
                <w:bCs/>
              </w:rPr>
              <w:t>NE</w:t>
            </w:r>
          </w:p>
        </w:tc>
      </w:tr>
      <w:tr w:rsidR="0068724C" w:rsidRPr="00665C2D" w:rsidTr="002E01DD">
        <w:trPr>
          <w:trHeight w:val="476"/>
        </w:trPr>
        <w:tc>
          <w:tcPr>
            <w:tcW w:w="9798" w:type="dxa"/>
            <w:gridSpan w:val="2"/>
            <w:tcBorders>
              <w:top w:val="single" w:sz="4" w:space="0" w:color="000000"/>
              <w:left w:val="single" w:sz="8" w:space="0" w:color="000000"/>
              <w:bottom w:val="single" w:sz="4" w:space="0" w:color="000000"/>
              <w:right w:val="single" w:sz="8" w:space="0" w:color="000000"/>
            </w:tcBorders>
          </w:tcPr>
          <w:p w:rsidR="0068724C" w:rsidRPr="00665C2D" w:rsidRDefault="0068724C" w:rsidP="002E01DD">
            <w:pPr>
              <w:tabs>
                <w:tab w:val="left" w:pos="1037"/>
              </w:tabs>
              <w:snapToGrid w:val="0"/>
              <w:spacing w:after="200"/>
              <w:rPr>
                <w:bCs/>
              </w:rPr>
            </w:pPr>
            <w:r w:rsidRPr="00665C2D">
              <w:rPr>
                <w:bCs/>
              </w:rPr>
              <w:t>Nepředpokládají se dopady na bezpečnost nebo obranu státu.</w:t>
            </w:r>
          </w:p>
        </w:tc>
      </w:tr>
    </w:tbl>
    <w:p w:rsidR="00C052EF" w:rsidRDefault="00C052EF" w:rsidP="00E739F6">
      <w:pPr>
        <w:jc w:val="both"/>
        <w:rPr>
          <w:b/>
        </w:rPr>
      </w:pPr>
    </w:p>
    <w:p w:rsidR="00C052EF" w:rsidRDefault="00C052EF">
      <w:pPr>
        <w:rPr>
          <w:b/>
        </w:rPr>
      </w:pPr>
      <w:r>
        <w:rPr>
          <w:b/>
        </w:rPr>
        <w:br w:type="page"/>
      </w:r>
    </w:p>
    <w:p w:rsidR="00E739F6" w:rsidRPr="00E13181" w:rsidRDefault="00E13181" w:rsidP="00E13181">
      <w:pPr>
        <w:shd w:val="clear" w:color="auto" w:fill="B8CCE4" w:themeFill="accent1" w:themeFillTint="66"/>
        <w:rPr>
          <w:b/>
        </w:rPr>
      </w:pPr>
      <w:r>
        <w:rPr>
          <w:b/>
        </w:rPr>
        <w:lastRenderedPageBreak/>
        <w:t xml:space="preserve">1 </w:t>
      </w:r>
      <w:r w:rsidR="00E739F6" w:rsidRPr="00E13181">
        <w:rPr>
          <w:b/>
        </w:rPr>
        <w:t>Důvod předložení a cíle</w:t>
      </w:r>
    </w:p>
    <w:p w:rsidR="002F2B2F" w:rsidRPr="002F2B2F" w:rsidRDefault="002F2B2F" w:rsidP="00C5451D">
      <w:pPr>
        <w:pStyle w:val="Odstavecseseznamem"/>
        <w:spacing w:before="120" w:line="240" w:lineRule="auto"/>
        <w:ind w:left="0"/>
        <w:contextualSpacing w:val="0"/>
        <w:rPr>
          <w:rFonts w:ascii="Times New Roman" w:hAnsi="Times New Roman"/>
          <w:sz w:val="24"/>
        </w:rPr>
      </w:pPr>
      <w:r w:rsidRPr="002F2B2F">
        <w:rPr>
          <w:rFonts w:ascii="Times New Roman" w:hAnsi="Times New Roman"/>
          <w:bCs/>
          <w:sz w:val="24"/>
        </w:rPr>
        <w:t xml:space="preserve">Důvodem připravované </w:t>
      </w:r>
      <w:r>
        <w:rPr>
          <w:rFonts w:ascii="Times New Roman" w:hAnsi="Times New Roman"/>
          <w:bCs/>
          <w:sz w:val="24"/>
        </w:rPr>
        <w:t xml:space="preserve">změny </w:t>
      </w:r>
      <w:r w:rsidRPr="002F2B2F">
        <w:rPr>
          <w:rFonts w:ascii="Times New Roman" w:hAnsi="Times New Roman"/>
          <w:bCs/>
          <w:sz w:val="24"/>
        </w:rPr>
        <w:t xml:space="preserve">školského zákona v </w:t>
      </w:r>
      <w:r w:rsidRPr="002F2B2F">
        <w:rPr>
          <w:rFonts w:ascii="Times New Roman" w:hAnsi="Times New Roman"/>
          <w:sz w:val="24"/>
        </w:rPr>
        <w:t xml:space="preserve">oblasti inkluzívního vzdělávání je zvýšit kvalitu systému školských poradenských služeb, </w:t>
      </w:r>
      <w:r>
        <w:rPr>
          <w:rFonts w:ascii="Times New Roman" w:hAnsi="Times New Roman"/>
          <w:sz w:val="24"/>
        </w:rPr>
        <w:t xml:space="preserve">např. </w:t>
      </w:r>
      <w:r w:rsidRPr="002F2B2F">
        <w:rPr>
          <w:rFonts w:ascii="Times New Roman" w:hAnsi="Times New Roman"/>
          <w:sz w:val="24"/>
        </w:rPr>
        <w:t>sjedno</w:t>
      </w:r>
      <w:r w:rsidR="00000BB0">
        <w:rPr>
          <w:rFonts w:ascii="Times New Roman" w:hAnsi="Times New Roman"/>
          <w:sz w:val="24"/>
        </w:rPr>
        <w:t>tit</w:t>
      </w:r>
      <w:r w:rsidRPr="002F2B2F">
        <w:rPr>
          <w:rFonts w:ascii="Times New Roman" w:hAnsi="Times New Roman"/>
          <w:sz w:val="24"/>
        </w:rPr>
        <w:t xml:space="preserve"> doporučování podpůrných opatření (dále PO) v rámci celého systému v nejlepším zájmu dětí/žáků/studentů (dále žák) se</w:t>
      </w:r>
      <w:r w:rsidR="00037BE2">
        <w:rPr>
          <w:rFonts w:ascii="Times New Roman" w:hAnsi="Times New Roman"/>
          <w:sz w:val="24"/>
        </w:rPr>
        <w:t> </w:t>
      </w:r>
      <w:r w:rsidRPr="002F2B2F">
        <w:rPr>
          <w:rFonts w:ascii="Times New Roman" w:hAnsi="Times New Roman"/>
          <w:sz w:val="24"/>
        </w:rPr>
        <w:t xml:space="preserve">speciálními vzdělávacími potřebami (dále SVP). </w:t>
      </w:r>
    </w:p>
    <w:p w:rsidR="002F2B2F" w:rsidRPr="002F2B2F" w:rsidRDefault="002F2B2F" w:rsidP="00C5451D">
      <w:pPr>
        <w:spacing w:before="120"/>
        <w:jc w:val="both"/>
      </w:pPr>
      <w:r w:rsidRPr="00000BB0">
        <w:t>Cílem nové</w:t>
      </w:r>
      <w:r w:rsidRPr="002F2B2F">
        <w:t xml:space="preserve"> právní úpravy je nastavení </w:t>
      </w:r>
      <w:r>
        <w:t xml:space="preserve">jednotného modelu řízení </w:t>
      </w:r>
      <w:r w:rsidR="005950D9">
        <w:t>ŠPZ</w:t>
      </w:r>
      <w:r>
        <w:t xml:space="preserve"> a s tím související </w:t>
      </w:r>
      <w:r w:rsidRPr="002F2B2F">
        <w:t>redukce nejednotnosti a krajových rozdílů, kontrola a</w:t>
      </w:r>
      <w:r w:rsidR="009E7225">
        <w:t> </w:t>
      </w:r>
      <w:r w:rsidRPr="002F2B2F">
        <w:t>řízení přidělování finančních prostředků státního rozpočtu ze strany</w:t>
      </w:r>
      <w:r w:rsidR="00000BB0" w:rsidRPr="00000BB0">
        <w:t xml:space="preserve"> </w:t>
      </w:r>
      <w:r w:rsidR="005950D9">
        <w:t>ministerstva</w:t>
      </w:r>
      <w:r w:rsidR="00000BB0" w:rsidRPr="00340CCE">
        <w:t xml:space="preserve"> </w:t>
      </w:r>
      <w:r w:rsidRPr="002F2B2F">
        <w:t>na základě průběžného kontinuálního vyhodnocování doporučování PO.</w:t>
      </w:r>
      <w:r>
        <w:t xml:space="preserve"> Současně je záměrem předkladatele snížení administrativní zátěže, doplnění zmocnění ke konkrétním </w:t>
      </w:r>
      <w:r w:rsidR="00C5451D">
        <w:t>opatřením při</w:t>
      </w:r>
      <w:r>
        <w:t xml:space="preserve"> řízení ŠPZ </w:t>
      </w:r>
      <w:r w:rsidR="00C5451D">
        <w:t>v prováděcích předpisech a součinnost s orgány sociálně</w:t>
      </w:r>
      <w:r w:rsidR="004E5F4A">
        <w:t>-</w:t>
      </w:r>
      <w:r w:rsidR="00C5451D">
        <w:t>právní ochrany dětí v nejlepším zájmu žáků.</w:t>
      </w:r>
    </w:p>
    <w:p w:rsidR="00E739F6" w:rsidRPr="00F77F01" w:rsidRDefault="00E739F6" w:rsidP="00C5451D">
      <w:pPr>
        <w:pStyle w:val="Odstavecseseznamem"/>
        <w:numPr>
          <w:ilvl w:val="1"/>
          <w:numId w:val="13"/>
        </w:numPr>
        <w:spacing w:before="120"/>
        <w:contextualSpacing w:val="0"/>
        <w:rPr>
          <w:rFonts w:ascii="Times New Roman" w:hAnsi="Times New Roman"/>
          <w:b/>
          <w:color w:val="auto"/>
          <w:sz w:val="24"/>
        </w:rPr>
      </w:pPr>
      <w:r w:rsidRPr="00F77F01">
        <w:rPr>
          <w:rFonts w:ascii="Times New Roman" w:hAnsi="Times New Roman"/>
          <w:b/>
          <w:color w:val="auto"/>
          <w:sz w:val="24"/>
        </w:rPr>
        <w:t>Název</w:t>
      </w:r>
    </w:p>
    <w:p w:rsidR="00DB05BF" w:rsidRPr="003037EA" w:rsidRDefault="00DB05BF" w:rsidP="00C5451D">
      <w:pPr>
        <w:spacing w:before="120"/>
        <w:jc w:val="both"/>
      </w:pPr>
      <w:r w:rsidRPr="00F0217D">
        <w:t xml:space="preserve">Návrh </w:t>
      </w:r>
      <w:r>
        <w:t>z</w:t>
      </w:r>
      <w:r w:rsidRPr="00FF2CBB">
        <w:t>ákon</w:t>
      </w:r>
      <w:r>
        <w:t>a</w:t>
      </w:r>
      <w:r w:rsidRPr="00FF2CBB">
        <w:t xml:space="preserve">, </w:t>
      </w:r>
      <w:r w:rsidRPr="003037EA">
        <w:t xml:space="preserve">kterým se mění zákon č. 561/2004 Sb., o předškolním, základním, středním, vyšším odborném a jiném vzdělávání (školský zákon), ve znění pozdějších předpisů, </w:t>
      </w:r>
      <w:r w:rsidR="00283D0E" w:rsidRPr="00283D0E">
        <w:t>a zákon č. 359/1999 Sb., o sociálně-právní ochraně dětí, ve znění pozdějších předpisů</w:t>
      </w:r>
      <w:r w:rsidR="00050E89">
        <w:t>.</w:t>
      </w:r>
    </w:p>
    <w:p w:rsidR="00E739F6" w:rsidRDefault="00E739F6" w:rsidP="00C5451D">
      <w:pPr>
        <w:spacing w:before="120"/>
        <w:ind w:firstLine="1"/>
        <w:jc w:val="both"/>
        <w:rPr>
          <w:b/>
        </w:rPr>
      </w:pPr>
      <w:r>
        <w:rPr>
          <w:b/>
        </w:rPr>
        <w:t>1.2</w:t>
      </w:r>
      <w:r w:rsidRPr="00BB51F6">
        <w:rPr>
          <w:b/>
        </w:rPr>
        <w:t xml:space="preserve"> Definice problému a popis existujícího právního stavu</w:t>
      </w:r>
    </w:p>
    <w:p w:rsidR="00420AB6" w:rsidRPr="00340CCE" w:rsidRDefault="00420AB6" w:rsidP="00420AB6">
      <w:pPr>
        <w:spacing w:before="120"/>
        <w:jc w:val="both"/>
      </w:pPr>
      <w:r w:rsidRPr="00340CCE">
        <w:rPr>
          <w:rFonts w:eastAsia="Cambria"/>
        </w:rPr>
        <w:t>Poskytování školských poradenských služeb je organizováno odlišně v různých krajích, rozdíly vedou k prohlubování různosti organizace služeb a komplikují jednotný přístup ke</w:t>
      </w:r>
      <w:r w:rsidR="007E4906">
        <w:rPr>
          <w:rFonts w:eastAsia="Cambria"/>
        </w:rPr>
        <w:t> </w:t>
      </w:r>
      <w:r w:rsidRPr="00340CCE">
        <w:rPr>
          <w:rFonts w:eastAsia="Cambria"/>
        </w:rPr>
        <w:t xml:space="preserve">všem žákům </w:t>
      </w:r>
      <w:r>
        <w:rPr>
          <w:rFonts w:eastAsia="Cambria"/>
        </w:rPr>
        <w:t xml:space="preserve">se </w:t>
      </w:r>
      <w:r w:rsidR="00994392">
        <w:rPr>
          <w:rFonts w:eastAsia="Cambria"/>
        </w:rPr>
        <w:t xml:space="preserve">SVP </w:t>
      </w:r>
      <w:r>
        <w:rPr>
          <w:rFonts w:eastAsia="Cambria"/>
        </w:rPr>
        <w:t>ve vzdělávacím systému České republiky</w:t>
      </w:r>
      <w:r w:rsidRPr="00340CCE">
        <w:rPr>
          <w:rFonts w:eastAsia="Cambria"/>
        </w:rPr>
        <w:t xml:space="preserve">. Rovněž </w:t>
      </w:r>
      <w:r w:rsidRPr="00340CCE">
        <w:t>byly zjištěny významné rozdíly ve</w:t>
      </w:r>
      <w:r w:rsidR="00037BE2">
        <w:t> </w:t>
      </w:r>
      <w:r w:rsidRPr="00340CCE">
        <w:t>skladbě doporučovaných PO u stejných druhů znevýhodnění, kdy se počet PO na jednoho žáka pohyboval od 1 do 19 PO.</w:t>
      </w:r>
      <w:r w:rsidRPr="00340CCE">
        <w:rPr>
          <w:rFonts w:eastAsia="Cambria"/>
        </w:rPr>
        <w:t xml:space="preserve"> Současně není dostatečně v oblasti doporučování PO s normovanou finanční náročností</w:t>
      </w:r>
      <w:r>
        <w:rPr>
          <w:rFonts w:eastAsia="Cambria"/>
        </w:rPr>
        <w:t xml:space="preserve"> </w:t>
      </w:r>
      <w:r w:rsidRPr="00340CCE">
        <w:rPr>
          <w:rFonts w:eastAsia="Cambria"/>
        </w:rPr>
        <w:t xml:space="preserve">nastaven systém kontroly </w:t>
      </w:r>
      <w:r>
        <w:rPr>
          <w:rFonts w:eastAsia="Cambria"/>
        </w:rPr>
        <w:t xml:space="preserve">rozdělování </w:t>
      </w:r>
      <w:r w:rsidRPr="00340CCE">
        <w:rPr>
          <w:rFonts w:eastAsia="Cambria"/>
        </w:rPr>
        <w:t xml:space="preserve">finančních </w:t>
      </w:r>
      <w:r>
        <w:rPr>
          <w:rFonts w:eastAsia="Cambria"/>
        </w:rPr>
        <w:t>prostředků státního rozpočtu ze </w:t>
      </w:r>
      <w:r w:rsidRPr="00340CCE">
        <w:rPr>
          <w:rFonts w:eastAsia="Cambria"/>
        </w:rPr>
        <w:t>strany ŠPZ</w:t>
      </w:r>
      <w:r>
        <w:rPr>
          <w:rFonts w:eastAsia="Cambria"/>
        </w:rPr>
        <w:t>.</w:t>
      </w:r>
      <w:r w:rsidRPr="00340CCE">
        <w:t xml:space="preserve"> Analýza společného vzdělávání a výsledky inspekční činnosti </w:t>
      </w:r>
      <w:r>
        <w:t xml:space="preserve">České školní inspekce </w:t>
      </w:r>
      <w:r w:rsidR="0099499C">
        <w:t>(</w:t>
      </w:r>
      <w:r>
        <w:t>dále</w:t>
      </w:r>
      <w:r w:rsidR="0099499C">
        <w:t xml:space="preserve"> </w:t>
      </w:r>
      <w:r w:rsidRPr="00340CCE">
        <w:t>ČŠI</w:t>
      </w:r>
      <w:r>
        <w:t>)</w:t>
      </w:r>
      <w:r w:rsidRPr="00340CCE">
        <w:t xml:space="preserve"> ukázaly na nedostatky v řízení </w:t>
      </w:r>
      <w:r>
        <w:t>Š</w:t>
      </w:r>
      <w:r w:rsidRPr="00340CCE">
        <w:t>PZ a v poskytování jejich služeb, kdy např. ze strany krajských úřadů a ŠPZ došlo k nepochopení financování škol tříd</w:t>
      </w:r>
      <w:r w:rsidR="004E5F4A">
        <w:t xml:space="preserve"> zřízených podle § 16 odst. 9 školského zákona</w:t>
      </w:r>
      <w:r w:rsidRPr="00340CCE">
        <w:t xml:space="preserve"> prostřednictvím</w:t>
      </w:r>
      <w:r>
        <w:t xml:space="preserve"> PO.</w:t>
      </w:r>
      <w:r w:rsidRPr="00340CCE">
        <w:t xml:space="preserve"> </w:t>
      </w:r>
      <w:r>
        <w:t>S</w:t>
      </w:r>
      <w:r w:rsidRPr="00340CCE">
        <w:t xml:space="preserve">ystémová podpora speciálního školství byla nahrazena výrazně nákladnější </w:t>
      </w:r>
      <w:r w:rsidR="004E5F4A">
        <w:t xml:space="preserve">a administrativně náročnou </w:t>
      </w:r>
      <w:r w:rsidRPr="00340CCE">
        <w:t xml:space="preserve">podporou </w:t>
      </w:r>
      <w:r w:rsidR="004E5F4A">
        <w:t xml:space="preserve">prostřednictvím </w:t>
      </w:r>
      <w:r w:rsidRPr="00340CCE">
        <w:t>P</w:t>
      </w:r>
      <w:r>
        <w:t xml:space="preserve">O, </w:t>
      </w:r>
      <w:r w:rsidR="004E5F4A">
        <w:t>která jsou určena</w:t>
      </w:r>
      <w:r>
        <w:t xml:space="preserve"> primárně</w:t>
      </w:r>
      <w:r w:rsidR="004E5F4A">
        <w:t xml:space="preserve"> ke</w:t>
      </w:r>
      <w:r>
        <w:t> </w:t>
      </w:r>
      <w:r w:rsidRPr="00340CCE">
        <w:t xml:space="preserve">vzdělávání žáků se </w:t>
      </w:r>
      <w:r w:rsidR="00994392">
        <w:t>SVP</w:t>
      </w:r>
      <w:r w:rsidRPr="00340CCE">
        <w:t xml:space="preserve"> v běžných školách. To vše bez n</w:t>
      </w:r>
      <w:r>
        <w:t>astavení systémového řízení a </w:t>
      </w:r>
      <w:r w:rsidRPr="00340CCE">
        <w:t xml:space="preserve">kontroly ze strany </w:t>
      </w:r>
      <w:r w:rsidR="00000BB0">
        <w:t xml:space="preserve">ministerstva </w:t>
      </w:r>
      <w:r w:rsidRPr="00340CCE">
        <w:t>vede v mnoha případech k neúčelnému poskytování finančních</w:t>
      </w:r>
      <w:r>
        <w:t xml:space="preserve"> prostředků na PO</w:t>
      </w:r>
      <w:r w:rsidR="009E7225">
        <w:t>.</w:t>
      </w:r>
      <w:r>
        <w:t xml:space="preserve"> </w:t>
      </w:r>
      <w:r w:rsidRPr="00340CCE">
        <w:t xml:space="preserve">Zřízení a kompetence </w:t>
      </w:r>
      <w:r>
        <w:t xml:space="preserve">právnické osoby </w:t>
      </w:r>
      <w:r w:rsidR="0099499C">
        <w:t>(</w:t>
      </w:r>
      <w:r>
        <w:t>osob</w:t>
      </w:r>
      <w:r w:rsidR="0099499C">
        <w:t>y</w:t>
      </w:r>
      <w:r>
        <w:t xml:space="preserve"> posuzující o</w:t>
      </w:r>
      <w:r w:rsidR="004E5F4A">
        <w:t>podstatněnost</w:t>
      </w:r>
      <w:r>
        <w:t xml:space="preserve"> PO) ministerstvem není ve </w:t>
      </w:r>
      <w:r w:rsidRPr="00340CCE">
        <w:t>ško</w:t>
      </w:r>
      <w:r>
        <w:t>lském zákoně dosud upraveno.</w:t>
      </w:r>
    </w:p>
    <w:p w:rsidR="00420AB6" w:rsidRPr="00420AB6" w:rsidRDefault="00420AB6" w:rsidP="00420AB6">
      <w:pPr>
        <w:spacing w:before="120"/>
        <w:jc w:val="both"/>
        <w:rPr>
          <w:rFonts w:eastAsia="Cambria"/>
        </w:rPr>
      </w:pPr>
      <w:r w:rsidRPr="00420AB6">
        <w:rPr>
          <w:rFonts w:eastAsia="Cambria"/>
        </w:rPr>
        <w:t>Systém řízení ŠPZ krajem (či jiným zřizovatelem) v odborné oblasti rovněž není nastaven. Dochází tedy k výrazným mezikrajovým rozdílům a k tomu, že odborní pracovníci často podléhají při doporučování PO s</w:t>
      </w:r>
      <w:r w:rsidR="00731FC2">
        <w:rPr>
          <w:rFonts w:eastAsia="Cambria"/>
        </w:rPr>
        <w:t> normovanou finanční náročností</w:t>
      </w:r>
      <w:r w:rsidRPr="00420AB6">
        <w:rPr>
          <w:rFonts w:eastAsia="Cambria"/>
        </w:rPr>
        <w:t xml:space="preserve"> tlaku zákonných zástupců bez ohledu na podporu sociální stránky inkluzívního vzdělávání a využití sdíleného asistenta pedagoga v dané třídě, doporučují PO </w:t>
      </w:r>
      <w:r w:rsidR="008C3BAB" w:rsidRPr="00420AB6">
        <w:rPr>
          <w:rFonts w:eastAsia="Cambria"/>
        </w:rPr>
        <w:t>pedagogick</w:t>
      </w:r>
      <w:r w:rsidR="0036658B">
        <w:rPr>
          <w:rFonts w:eastAsia="Cambria"/>
        </w:rPr>
        <w:t>á</w:t>
      </w:r>
      <w:r w:rsidR="008C3BAB" w:rsidRPr="00420AB6">
        <w:rPr>
          <w:rFonts w:eastAsia="Cambria"/>
        </w:rPr>
        <w:t xml:space="preserve"> </w:t>
      </w:r>
      <w:r w:rsidRPr="00420AB6">
        <w:rPr>
          <w:rFonts w:eastAsia="Cambria"/>
        </w:rPr>
        <w:t>intervence i nemotivovaným žákům či</w:t>
      </w:r>
      <w:r w:rsidR="00DB061B">
        <w:rPr>
          <w:rFonts w:eastAsia="Cambria"/>
        </w:rPr>
        <w:t> </w:t>
      </w:r>
      <w:r w:rsidRPr="00420AB6">
        <w:rPr>
          <w:rFonts w:eastAsia="Cambria"/>
        </w:rPr>
        <w:t xml:space="preserve">dochází k duplikovanému doporučování kompenzačních pomůcek. Významné rozdíly lze doložit statistickými daty </w:t>
      </w:r>
      <w:r w:rsidR="004E5F4A">
        <w:rPr>
          <w:rFonts w:eastAsia="Cambria"/>
        </w:rPr>
        <w:t>ministerstva</w:t>
      </w:r>
      <w:r w:rsidRPr="00420AB6">
        <w:rPr>
          <w:rFonts w:eastAsia="Cambria"/>
        </w:rPr>
        <w:t>.</w:t>
      </w:r>
    </w:p>
    <w:p w:rsidR="00420AB6" w:rsidRPr="00E46E79" w:rsidRDefault="004E5F4A" w:rsidP="00420AB6">
      <w:pPr>
        <w:spacing w:before="120"/>
        <w:jc w:val="both"/>
      </w:pPr>
      <w:r>
        <w:t>Ministerstvo</w:t>
      </w:r>
      <w:r w:rsidR="00420AB6" w:rsidRPr="00E46E79">
        <w:t xml:space="preserve"> každoročně vyhlašuje rozvojový program „Podpora ŠPZ diagnostickými nástroji“, s cílem zkvalitnění a sjednocení poradenských služeb rozšířením a obnovou diagnostické základny. Ani tato podpora modernizace a sjednocení diagnostických metod však nevede k unifikaci obsahu vydávaných doporučení v oblasti PO. Finanční zajištění ze strany ministerstva v rámci tohoto programu činí od roku 2016 17 </w:t>
      </w:r>
      <w:r w:rsidR="000C4EB0" w:rsidRPr="00E46E79">
        <w:t>mil</w:t>
      </w:r>
      <w:r w:rsidR="000C4EB0">
        <w:t xml:space="preserve">. </w:t>
      </w:r>
      <w:r w:rsidR="008C3BAB">
        <w:t>Kč</w:t>
      </w:r>
      <w:r w:rsidR="00420AB6" w:rsidRPr="00E46E79">
        <w:t>, v letošním roce bylo vyhověno všem žádostem ŠPZ a finanční prostředky jim byly poskytnuty v nárokované výši. Tím je poradenský systém saturován diagnostickými nástroji v takové míře, která umožní ŠPZ respektovat srovnatelné diagnostické postupy</w:t>
      </w:r>
      <w:r>
        <w:t>.</w:t>
      </w:r>
    </w:p>
    <w:p w:rsidR="00420AB6" w:rsidRPr="00E46E79" w:rsidRDefault="00420AB6" w:rsidP="00420AB6">
      <w:pPr>
        <w:spacing w:before="120"/>
        <w:jc w:val="both"/>
      </w:pPr>
      <w:r>
        <w:lastRenderedPageBreak/>
        <w:t xml:space="preserve">Prioritou </w:t>
      </w:r>
      <w:r w:rsidR="004E5F4A">
        <w:t xml:space="preserve">v </w:t>
      </w:r>
      <w:r>
        <w:t xml:space="preserve">oblasti inkluzívního </w:t>
      </w:r>
      <w:r w:rsidRPr="00852798">
        <w:t xml:space="preserve">vzdělávání pro následující období je </w:t>
      </w:r>
      <w:r>
        <w:t xml:space="preserve">zaměření </w:t>
      </w:r>
      <w:r w:rsidRPr="00852798">
        <w:t>na kvalitu systému školských poradenských služeb, tzn. na sys</w:t>
      </w:r>
      <w:r>
        <w:t>témovou kontrolu a řízení ŠPZ a </w:t>
      </w:r>
      <w:r w:rsidRPr="00852798">
        <w:t>sjednocení doporučování PO v rámci celého systému</w:t>
      </w:r>
      <w:r>
        <w:t xml:space="preserve"> v nejlepším zájmu žáků se SVP</w:t>
      </w:r>
      <w:r w:rsidRPr="00852798">
        <w:t xml:space="preserve">. </w:t>
      </w:r>
      <w:r w:rsidRPr="00340CCE">
        <w:t xml:space="preserve">Cílem nové právní úpravy je </w:t>
      </w:r>
      <w:r w:rsidRPr="00E46E79">
        <w:t xml:space="preserve">nastavení </w:t>
      </w:r>
      <w:r w:rsidR="00784CA7">
        <w:t xml:space="preserve">jednotného </w:t>
      </w:r>
      <w:r w:rsidRPr="00340CCE">
        <w:t>modelu řízení ŠPZ, redukce nejednotnosti a</w:t>
      </w:r>
      <w:r w:rsidR="00784CA7">
        <w:t> </w:t>
      </w:r>
      <w:r w:rsidRPr="00340CCE">
        <w:t>krajových rozdílů, kontrola a řízení přidělování finančních prostředků státního rozpočtu ze</w:t>
      </w:r>
      <w:r w:rsidR="007E4906">
        <w:t> </w:t>
      </w:r>
      <w:r w:rsidRPr="00340CCE">
        <w:t>strany ministerstva na</w:t>
      </w:r>
      <w:r w:rsidR="00741828">
        <w:t> </w:t>
      </w:r>
      <w:r w:rsidRPr="00340CCE">
        <w:t>základě průběžného kontinuálního vyhod</w:t>
      </w:r>
      <w:r>
        <w:t>nocování doporučování PO</w:t>
      </w:r>
      <w:r w:rsidR="0036658B">
        <w:t>.</w:t>
      </w:r>
      <w:r>
        <w:t xml:space="preserve"> </w:t>
      </w:r>
    </w:p>
    <w:p w:rsidR="00784CA7" w:rsidRPr="00420AB6" w:rsidRDefault="0072377D" w:rsidP="00784CA7">
      <w:pPr>
        <w:spacing w:before="120"/>
        <w:jc w:val="both"/>
      </w:pPr>
      <w:r>
        <w:t>Dlouhodobou s</w:t>
      </w:r>
      <w:r w:rsidR="00420AB6" w:rsidRPr="00420AB6">
        <w:t>nahou ministerstva je rovněž výrazně snižovat administrativní zátěž škol a</w:t>
      </w:r>
      <w:r>
        <w:t> </w:t>
      </w:r>
      <w:r w:rsidR="00420AB6" w:rsidRPr="00420AB6">
        <w:t xml:space="preserve">ŠPZ v oblasti vzdělávání žáků se </w:t>
      </w:r>
      <w:r w:rsidR="00994392">
        <w:t>SVP</w:t>
      </w:r>
      <w:r w:rsidR="00420AB6" w:rsidRPr="00420AB6">
        <w:t>. Kontrola financování je navržena tak, aby prostředky pro jednotlivé školy byly rozdělovány rovnoměrně na základě využití všech dostupných informací v souladu s platnou legislativou bez dalšího zvyšování míry povinností pro</w:t>
      </w:r>
      <w:r w:rsidR="00376924">
        <w:t> </w:t>
      </w:r>
      <w:r w:rsidR="00420AB6" w:rsidRPr="00420AB6">
        <w:t xml:space="preserve">zainteresované pedagogické pracovníky. </w:t>
      </w:r>
      <w:r w:rsidR="003B692D">
        <w:t xml:space="preserve">Další snížení administrativní zátěže je podpořeno vymezením případů </w:t>
      </w:r>
      <w:r w:rsidR="009E7225">
        <w:t xml:space="preserve">povinnosti </w:t>
      </w:r>
      <w:r w:rsidR="003B692D">
        <w:t>informovaného souhlasu s poskytováním pouze těch PO, kter</w:t>
      </w:r>
      <w:r w:rsidR="00EB2760">
        <w:t>á</w:t>
      </w:r>
      <w:r w:rsidR="003B692D">
        <w:t xml:space="preserve"> významným způsobem zasahují do</w:t>
      </w:r>
      <w:r w:rsidR="00DB061B">
        <w:t> </w:t>
      </w:r>
      <w:r w:rsidR="003B692D">
        <w:t>podmínek, průběhu nebo výsledků poskytovaného vzdělávání. Bližší specifikace bude vymezena prováděcím právním předpisem.</w:t>
      </w:r>
      <w:r w:rsidR="00784CA7">
        <w:t xml:space="preserve"> </w:t>
      </w:r>
      <w:r w:rsidR="00073160">
        <w:t>M</w:t>
      </w:r>
      <w:r w:rsidR="00EB2760">
        <w:t>inisterstvo</w:t>
      </w:r>
      <w:r w:rsidR="00073160">
        <w:t xml:space="preserve"> si</w:t>
      </w:r>
      <w:r w:rsidR="00376924">
        <w:t> </w:t>
      </w:r>
      <w:r w:rsidR="00073160">
        <w:t xml:space="preserve">je </w:t>
      </w:r>
      <w:r w:rsidR="009E7225">
        <w:t xml:space="preserve">rovněž </w:t>
      </w:r>
      <w:r w:rsidR="00073160">
        <w:t xml:space="preserve">vědomo </w:t>
      </w:r>
      <w:r w:rsidR="00EB2760">
        <w:t>nadbytečnosti</w:t>
      </w:r>
      <w:r w:rsidR="00073160">
        <w:t xml:space="preserve"> povolování PO IVP </w:t>
      </w:r>
      <w:r w:rsidR="0036658B">
        <w:t xml:space="preserve">(jedná se o nárokové PO) </w:t>
      </w:r>
      <w:r w:rsidR="00073160">
        <w:t>ředitelem školy ve</w:t>
      </w:r>
      <w:r w:rsidR="009E7225">
        <w:t> </w:t>
      </w:r>
      <w:r w:rsidR="00073160">
        <w:t>správním řízení</w:t>
      </w:r>
      <w:r w:rsidR="00376924">
        <w:t>,</w:t>
      </w:r>
      <w:r w:rsidR="00073160">
        <w:t xml:space="preserve"> a proto tuto povinnost ze zákona navrhuje odstranit. </w:t>
      </w:r>
      <w:r w:rsidR="00784CA7">
        <w:t xml:space="preserve">Ministerstvo rovněž v souladu s efektivním a </w:t>
      </w:r>
      <w:r>
        <w:t xml:space="preserve">srovnatelným </w:t>
      </w:r>
      <w:r w:rsidR="00784CA7">
        <w:t>nastavením PO upravuje zmocnění pro</w:t>
      </w:r>
      <w:r w:rsidR="00073160">
        <w:t> </w:t>
      </w:r>
      <w:r w:rsidR="00784CA7">
        <w:t>předkladatele stanovit</w:t>
      </w:r>
      <w:r w:rsidR="0036658B">
        <w:t xml:space="preserve"> základní</w:t>
      </w:r>
      <w:r w:rsidR="00784CA7">
        <w:t xml:space="preserve"> </w:t>
      </w:r>
      <w:r w:rsidR="0036658B">
        <w:t xml:space="preserve">pravidla použití diagnostických nástrojů a </w:t>
      </w:r>
      <w:r w:rsidR="00784CA7">
        <w:t>okruh moderních a validních diagnostických nástrojů, které lze při</w:t>
      </w:r>
      <w:r w:rsidR="00073160">
        <w:t> </w:t>
      </w:r>
      <w:r w:rsidR="00784CA7">
        <w:t xml:space="preserve">nastavení PO akceptovat. </w:t>
      </w:r>
    </w:p>
    <w:p w:rsidR="00420AB6" w:rsidRPr="00D34A5A" w:rsidRDefault="00420AB6" w:rsidP="00420AB6">
      <w:pPr>
        <w:spacing w:before="120"/>
        <w:jc w:val="both"/>
      </w:pPr>
      <w:r w:rsidRPr="00D34A5A">
        <w:t xml:space="preserve">Současný systém řízení a kontroly ŠPZ neumožňuje sjednotit obsah doporučení z hlediska PO před jeho vydáním škole, žákovi a jeho zákonnému zástupci a do značné míry je ovlivněn odbornou a osobní kvalitou pracovníka daného ŠPZ či jeho ředitele a zřizovatele. Ze strany </w:t>
      </w:r>
      <w:r w:rsidR="00EB2760">
        <w:t>ministerstva</w:t>
      </w:r>
      <w:r w:rsidRPr="00D34A5A">
        <w:t xml:space="preserve"> dosud chybí možnost řešení aktuálních disproporcí. Systémová kontrola je odvislá od sběru dat vykazovaných jednou ročně a případná opatření ke zjištěným zásadním nedostatkům lze přijmout s více než s jednoletým zpožděním. Tím dochází k neopodstatněným rozdílům podpory žáků se SVP a někdy pak i k neúčelnému čerpání finančních prostředků státního rozpočtu.</w:t>
      </w:r>
      <w:r w:rsidR="0082725A">
        <w:t xml:space="preserve"> Zmocnění k nastavení nejvyššího počtu </w:t>
      </w:r>
      <w:r w:rsidR="00515FBE">
        <w:t xml:space="preserve">pedagogických pracovníků </w:t>
      </w:r>
      <w:r w:rsidR="0082725A">
        <w:t>ve</w:t>
      </w:r>
      <w:r w:rsidR="00DB061B">
        <w:t> </w:t>
      </w:r>
      <w:r w:rsidR="0082725A">
        <w:t>třídě, oddělení či studijní skupině v prováděcím právním předpi</w:t>
      </w:r>
      <w:r w:rsidR="005342F5">
        <w:t xml:space="preserve">su podpoří respektování inkluzívního přístupu ve vzdělávání </w:t>
      </w:r>
      <w:r w:rsidR="00515FBE">
        <w:t xml:space="preserve">personální </w:t>
      </w:r>
      <w:r w:rsidR="005342F5">
        <w:t>podporou směřovanou na skupinu třídy.</w:t>
      </w:r>
    </w:p>
    <w:p w:rsidR="00493CBE" w:rsidRDefault="00493CBE" w:rsidP="00493CBE">
      <w:pPr>
        <w:spacing w:before="120"/>
        <w:jc w:val="both"/>
      </w:pPr>
      <w:r>
        <w:t>M</w:t>
      </w:r>
      <w:r w:rsidR="00EB2760">
        <w:t>inisterstvo</w:t>
      </w:r>
      <w:r>
        <w:t xml:space="preserve"> </w:t>
      </w:r>
      <w:r w:rsidRPr="00420AB6">
        <w:t>je za absenci systémového řízení ŠPZ často kritizováno. Řešení této problematiky je očekáváno mnoha zainteresovanými subjekty – zřizovateli, odbornými asociacemi a v konečném důsledku i samotnými ŠPZ. M</w:t>
      </w:r>
      <w:r w:rsidR="00EB2760">
        <w:t>inisterstvo</w:t>
      </w:r>
      <w:r w:rsidRPr="00420AB6">
        <w:t xml:space="preserve"> předpokládá zahájení činnosti kontrolních pracovišť již v roce 202</w:t>
      </w:r>
      <w:r w:rsidR="0072377D">
        <w:t>0</w:t>
      </w:r>
      <w:r>
        <w:t>,</w:t>
      </w:r>
      <w:r w:rsidRPr="00420AB6">
        <w:t xml:space="preserve"> a to v první fázi</w:t>
      </w:r>
      <w:r>
        <w:t>,</w:t>
      </w:r>
      <w:r w:rsidRPr="00420AB6">
        <w:t xml:space="preserve"> k</w:t>
      </w:r>
      <w:r>
        <w:t>dy dojde k vymezení okruhu posuzovaných doporučení a k</w:t>
      </w:r>
      <w:r w:rsidRPr="00420AB6">
        <w:t> řešení nejvýraznějších disproporcí mezi jednotlivými ŠPZ či</w:t>
      </w:r>
      <w:r w:rsidR="00376924">
        <w:t> </w:t>
      </w:r>
      <w:r w:rsidRPr="00420AB6">
        <w:t>kraji a</w:t>
      </w:r>
      <w:r>
        <w:t> </w:t>
      </w:r>
      <w:r w:rsidRPr="00420AB6">
        <w:t>mechanismus předávání informací bude založen na využití stávajících informačních systémů</w:t>
      </w:r>
      <w:r w:rsidR="009E7225">
        <w:t>.</w:t>
      </w:r>
    </w:p>
    <w:p w:rsidR="0036658B" w:rsidRDefault="00515FBE" w:rsidP="00515FBE">
      <w:pPr>
        <w:spacing w:before="120"/>
        <w:jc w:val="both"/>
      </w:pPr>
      <w:r>
        <w:t>V praxi byly zjištěny časté případy, kdy zákonní zástupci nerespektovali nejlepší zájem svého dítěte a přes doporučení školy či školského zařízení nevyhledali bezdůvodně pro svoje dítě odbornou pomoc</w:t>
      </w:r>
      <w:r w:rsidR="000319ED">
        <w:t xml:space="preserve"> ŠPZ</w:t>
      </w:r>
      <w:r>
        <w:t>. Pro tyto případy je tedy nezbytné</w:t>
      </w:r>
      <w:r w:rsidR="0072377D">
        <w:t xml:space="preserve"> </w:t>
      </w:r>
      <w:r w:rsidR="00E00805">
        <w:t xml:space="preserve">realizovat </w:t>
      </w:r>
      <w:r w:rsidR="0072377D">
        <w:t>poradenskou službu pro</w:t>
      </w:r>
      <w:r w:rsidR="00376924">
        <w:t> </w:t>
      </w:r>
      <w:r w:rsidR="0072377D">
        <w:t xml:space="preserve">žáka přímo ve škole či školském zařízení, </w:t>
      </w:r>
      <w:r>
        <w:t xml:space="preserve">legislativně ukotvit spolupráci s orgány </w:t>
      </w:r>
      <w:r w:rsidR="00376924">
        <w:br/>
      </w:r>
      <w:r>
        <w:t>sociálně</w:t>
      </w:r>
      <w:r w:rsidR="00EB2760">
        <w:t>-</w:t>
      </w:r>
      <w:r>
        <w:t>právní ochrany dětí</w:t>
      </w:r>
      <w:r w:rsidR="0072377D">
        <w:t xml:space="preserve"> a zajistit předávání relevantních informací vedoucích k nastavení optimálních podmínek vzdělávání včetně případných PO.</w:t>
      </w:r>
    </w:p>
    <w:p w:rsidR="0036658B" w:rsidRDefault="0036658B">
      <w:r>
        <w:br w:type="page"/>
      </w:r>
    </w:p>
    <w:p w:rsidR="00F83278" w:rsidRPr="00C052EF" w:rsidRDefault="003930CB" w:rsidP="00C052EF">
      <w:pPr>
        <w:suppressAutoHyphens/>
        <w:spacing w:before="120"/>
        <w:rPr>
          <w:b/>
        </w:rPr>
      </w:pPr>
      <w:r w:rsidRPr="00C052EF">
        <w:rPr>
          <w:b/>
        </w:rPr>
        <w:lastRenderedPageBreak/>
        <w:t xml:space="preserve">1.3 </w:t>
      </w:r>
      <w:r w:rsidR="00F83278" w:rsidRPr="00C052EF">
        <w:rPr>
          <w:b/>
        </w:rPr>
        <w:t>Identifikace dotčených subjektů</w:t>
      </w:r>
    </w:p>
    <w:p w:rsidR="00657D97" w:rsidRPr="00C052EF" w:rsidRDefault="00073160" w:rsidP="00073160">
      <w:pPr>
        <w:spacing w:before="120"/>
        <w:ind w:left="709" w:hanging="709"/>
        <w:jc w:val="both"/>
      </w:pPr>
      <w:bookmarkStart w:id="1" w:name="_Hlk20308870"/>
      <w:r>
        <w:t>-</w:t>
      </w:r>
      <w:r>
        <w:tab/>
      </w:r>
      <w:r w:rsidR="00657D97" w:rsidRPr="00C052EF">
        <w:t>právnické osoby vykonávající činnost mateřských, základních, středních a vyšších</w:t>
      </w:r>
      <w:r>
        <w:t xml:space="preserve"> </w:t>
      </w:r>
      <w:r w:rsidR="0099499C" w:rsidRPr="00C052EF">
        <w:t xml:space="preserve">odborných škol, </w:t>
      </w:r>
    </w:p>
    <w:bookmarkEnd w:id="1"/>
    <w:p w:rsidR="00657D97" w:rsidRPr="00C052EF" w:rsidRDefault="00657D97" w:rsidP="00073160">
      <w:pPr>
        <w:numPr>
          <w:ilvl w:val="0"/>
          <w:numId w:val="29"/>
        </w:numPr>
        <w:ind w:left="-567" w:firstLine="567"/>
        <w:jc w:val="both"/>
      </w:pPr>
      <w:r w:rsidRPr="00C052EF">
        <w:t>pedagogičtí a vedoucí pracovníci ŠPZ</w:t>
      </w:r>
      <w:r w:rsidR="00BF432D" w:rsidRPr="00C052EF">
        <w:t>,</w:t>
      </w:r>
    </w:p>
    <w:p w:rsidR="00657D97" w:rsidRPr="00C052EF" w:rsidRDefault="00657D97" w:rsidP="00073160">
      <w:pPr>
        <w:numPr>
          <w:ilvl w:val="0"/>
          <w:numId w:val="29"/>
        </w:numPr>
        <w:ind w:left="-567" w:firstLine="567"/>
        <w:jc w:val="both"/>
      </w:pPr>
      <w:r w:rsidRPr="00C052EF">
        <w:t>zřizovatelé ŠPZ</w:t>
      </w:r>
      <w:r w:rsidR="00BF432D" w:rsidRPr="00C052EF">
        <w:t>,</w:t>
      </w:r>
    </w:p>
    <w:p w:rsidR="00657D97" w:rsidRPr="00C052EF" w:rsidRDefault="00657D97" w:rsidP="00073160">
      <w:pPr>
        <w:numPr>
          <w:ilvl w:val="0"/>
          <w:numId w:val="29"/>
        </w:numPr>
        <w:ind w:left="-567" w:firstLine="567"/>
        <w:jc w:val="both"/>
      </w:pPr>
      <w:r w:rsidRPr="00C052EF">
        <w:t>děti, žáci a studenti se SVP</w:t>
      </w:r>
      <w:r w:rsidR="00BF432D" w:rsidRPr="00C052EF">
        <w:t>,</w:t>
      </w:r>
    </w:p>
    <w:p w:rsidR="00F83278" w:rsidRPr="00C052EF" w:rsidRDefault="00F00F06" w:rsidP="00073160">
      <w:pPr>
        <w:numPr>
          <w:ilvl w:val="0"/>
          <w:numId w:val="29"/>
        </w:numPr>
        <w:ind w:left="-567" w:firstLine="567"/>
        <w:jc w:val="both"/>
        <w:rPr>
          <w:rFonts w:eastAsia="MS Mincho"/>
          <w:b/>
          <w:iCs/>
        </w:rPr>
      </w:pPr>
      <w:r>
        <w:t>ministerstvo</w:t>
      </w:r>
      <w:r w:rsidR="00BF432D" w:rsidRPr="00C052EF">
        <w:t>.</w:t>
      </w:r>
    </w:p>
    <w:p w:rsidR="001A750A" w:rsidRPr="00C052EF" w:rsidRDefault="00C052EF" w:rsidP="00C052EF">
      <w:pPr>
        <w:pStyle w:val="Odstavecseseznamem"/>
        <w:suppressAutoHyphens/>
        <w:spacing w:before="120"/>
        <w:ind w:left="0"/>
        <w:rPr>
          <w:rFonts w:ascii="Times New Roman" w:hAnsi="Times New Roman"/>
          <w:b/>
          <w:sz w:val="24"/>
        </w:rPr>
      </w:pPr>
      <w:r>
        <w:rPr>
          <w:rFonts w:ascii="Times New Roman" w:hAnsi="Times New Roman"/>
          <w:b/>
          <w:sz w:val="24"/>
        </w:rPr>
        <w:t>1.</w:t>
      </w:r>
      <w:r w:rsidR="00E55F92" w:rsidRPr="00C052EF">
        <w:rPr>
          <w:rFonts w:ascii="Times New Roman" w:hAnsi="Times New Roman"/>
          <w:b/>
          <w:sz w:val="24"/>
        </w:rPr>
        <w:t>4. Popis cílového stavu</w:t>
      </w:r>
      <w:r w:rsidR="001A750A" w:rsidRPr="00C052EF">
        <w:rPr>
          <w:rFonts w:ascii="Times New Roman" w:hAnsi="Times New Roman"/>
          <w:b/>
          <w:sz w:val="24"/>
        </w:rPr>
        <w:t xml:space="preserve"> </w:t>
      </w:r>
    </w:p>
    <w:p w:rsidR="00862C47" w:rsidRDefault="00E00805" w:rsidP="00C052EF">
      <w:pPr>
        <w:spacing w:before="120"/>
        <w:jc w:val="both"/>
        <w:rPr>
          <w:color w:val="000000"/>
        </w:rPr>
      </w:pPr>
      <w:r>
        <w:rPr>
          <w:color w:val="000000"/>
        </w:rPr>
        <w:t xml:space="preserve">Poskytování </w:t>
      </w:r>
      <w:r w:rsidR="0036658B">
        <w:rPr>
          <w:color w:val="000000"/>
        </w:rPr>
        <w:t xml:space="preserve">PO </w:t>
      </w:r>
      <w:r w:rsidR="00862C47" w:rsidRPr="00C052EF">
        <w:rPr>
          <w:color w:val="000000"/>
        </w:rPr>
        <w:t xml:space="preserve">na základě doporučení </w:t>
      </w:r>
      <w:r>
        <w:rPr>
          <w:color w:val="000000"/>
        </w:rPr>
        <w:t xml:space="preserve">ŠPZ bude </w:t>
      </w:r>
      <w:r w:rsidR="00862C47" w:rsidRPr="00C052EF">
        <w:rPr>
          <w:color w:val="000000"/>
        </w:rPr>
        <w:t>zajištěn</w:t>
      </w:r>
      <w:r>
        <w:rPr>
          <w:color w:val="000000"/>
        </w:rPr>
        <w:t>o</w:t>
      </w:r>
      <w:r w:rsidR="00862C47" w:rsidRPr="00C052EF">
        <w:rPr>
          <w:color w:val="000000"/>
        </w:rPr>
        <w:t xml:space="preserve"> </w:t>
      </w:r>
      <w:r>
        <w:rPr>
          <w:color w:val="000000"/>
        </w:rPr>
        <w:t xml:space="preserve">v </w:t>
      </w:r>
      <w:r w:rsidR="00862C47" w:rsidRPr="00C052EF">
        <w:rPr>
          <w:color w:val="000000"/>
        </w:rPr>
        <w:t>záj</w:t>
      </w:r>
      <w:r>
        <w:rPr>
          <w:color w:val="000000"/>
        </w:rPr>
        <w:t>mu</w:t>
      </w:r>
      <w:r w:rsidR="00862C47" w:rsidRPr="00C052EF">
        <w:rPr>
          <w:color w:val="000000"/>
        </w:rPr>
        <w:t xml:space="preserve"> žáků </w:t>
      </w:r>
      <w:r>
        <w:rPr>
          <w:color w:val="000000"/>
        </w:rPr>
        <w:t xml:space="preserve">s ohledem </w:t>
      </w:r>
      <w:r w:rsidR="00862C47" w:rsidRPr="00C052EF">
        <w:rPr>
          <w:color w:val="000000"/>
        </w:rPr>
        <w:t>na</w:t>
      </w:r>
      <w:r w:rsidR="0036658B">
        <w:rPr>
          <w:color w:val="000000"/>
        </w:rPr>
        <w:t> </w:t>
      </w:r>
      <w:r w:rsidR="00862C47" w:rsidRPr="00C052EF">
        <w:rPr>
          <w:color w:val="000000"/>
        </w:rPr>
        <w:t>skutečně inkluzivní podpo</w:t>
      </w:r>
      <w:r>
        <w:rPr>
          <w:color w:val="000000"/>
        </w:rPr>
        <w:t>ru</w:t>
      </w:r>
      <w:r w:rsidR="00862C47" w:rsidRPr="00C052EF">
        <w:rPr>
          <w:color w:val="000000"/>
        </w:rPr>
        <w:t xml:space="preserve"> i účelné a efektivní čerpání prostředků státního rozpočtu</w:t>
      </w:r>
      <w:r>
        <w:rPr>
          <w:color w:val="000000"/>
        </w:rPr>
        <w:t xml:space="preserve"> s maximálním ohledem na rovný přístup ve vzdělávacím systému</w:t>
      </w:r>
      <w:r w:rsidR="00862C47" w:rsidRPr="00C052EF">
        <w:rPr>
          <w:color w:val="000000"/>
        </w:rPr>
        <w:t xml:space="preserve">. Je potřeba zajistit vyrovnání nejednotnosti doporučených PO s maximálním </w:t>
      </w:r>
      <w:r w:rsidR="00E53AD8" w:rsidRPr="00C052EF">
        <w:rPr>
          <w:color w:val="000000"/>
        </w:rPr>
        <w:t>respektem k druhu</w:t>
      </w:r>
      <w:r w:rsidR="00862C47" w:rsidRPr="00C052EF">
        <w:rPr>
          <w:color w:val="000000"/>
        </w:rPr>
        <w:t xml:space="preserve"> zdravotního znevýhodnění žáka a míry jeho </w:t>
      </w:r>
      <w:r w:rsidR="00E53AD8" w:rsidRPr="00C052EF">
        <w:rPr>
          <w:color w:val="000000"/>
        </w:rPr>
        <w:t>SVP</w:t>
      </w:r>
      <w:r w:rsidR="00862C47" w:rsidRPr="00C052EF">
        <w:rPr>
          <w:color w:val="000000"/>
        </w:rPr>
        <w:t xml:space="preserve"> se zohledněním struktury a personálních podmínek třídy, ve které je žák vzděláván.</w:t>
      </w:r>
      <w:r w:rsidR="00A268F1" w:rsidRPr="00C052EF">
        <w:rPr>
          <w:color w:val="000000"/>
        </w:rPr>
        <w:t xml:space="preserve"> Tento cíl je </w:t>
      </w:r>
      <w:r w:rsidR="0098349E" w:rsidRPr="00C052EF">
        <w:rPr>
          <w:color w:val="000000"/>
        </w:rPr>
        <w:t>žádoucí dále podpořit rozšířením možnosti podání žádosti revize doporučení o další právnickou osobu</w:t>
      </w:r>
      <w:r w:rsidR="00622119" w:rsidRPr="00C052EF">
        <w:rPr>
          <w:color w:val="000000"/>
        </w:rPr>
        <w:t xml:space="preserve"> a </w:t>
      </w:r>
      <w:r w:rsidR="0098349E" w:rsidRPr="00C052EF">
        <w:rPr>
          <w:color w:val="000000"/>
        </w:rPr>
        <w:t>upřesn</w:t>
      </w:r>
      <w:r w:rsidR="00622119" w:rsidRPr="00C052EF">
        <w:rPr>
          <w:color w:val="000000"/>
        </w:rPr>
        <w:t>ěním</w:t>
      </w:r>
      <w:r w:rsidR="0098349E" w:rsidRPr="00C052EF">
        <w:rPr>
          <w:color w:val="000000"/>
        </w:rPr>
        <w:t xml:space="preserve"> zmocnění předkladatele ke</w:t>
      </w:r>
      <w:r>
        <w:rPr>
          <w:color w:val="000000"/>
        </w:rPr>
        <w:t> </w:t>
      </w:r>
      <w:r w:rsidR="0098349E" w:rsidRPr="00C052EF">
        <w:rPr>
          <w:color w:val="000000"/>
        </w:rPr>
        <w:t xml:space="preserve">stanovení konkrétních podmínek nastavení PO </w:t>
      </w:r>
      <w:r w:rsidR="00622119" w:rsidRPr="00C052EF">
        <w:rPr>
          <w:color w:val="000000"/>
        </w:rPr>
        <w:t xml:space="preserve">včetně </w:t>
      </w:r>
      <w:r w:rsidR="000319ED">
        <w:rPr>
          <w:color w:val="000000"/>
        </w:rPr>
        <w:t xml:space="preserve">pravidel </w:t>
      </w:r>
      <w:r w:rsidR="0098349E" w:rsidRPr="00C052EF">
        <w:rPr>
          <w:color w:val="000000"/>
        </w:rPr>
        <w:t>informovaného souhlasu s jejich poskytováním</w:t>
      </w:r>
      <w:r w:rsidR="000319ED">
        <w:rPr>
          <w:color w:val="000000"/>
        </w:rPr>
        <w:t>.</w:t>
      </w:r>
      <w:r w:rsidR="0098349E" w:rsidRPr="00C052EF">
        <w:rPr>
          <w:color w:val="000000"/>
        </w:rPr>
        <w:t xml:space="preserve"> </w:t>
      </w:r>
    </w:p>
    <w:p w:rsidR="00211BAA" w:rsidRPr="00FF5130" w:rsidRDefault="00211BAA" w:rsidP="00C052EF">
      <w:pPr>
        <w:spacing w:before="120"/>
        <w:jc w:val="both"/>
        <w:rPr>
          <w:color w:val="000000"/>
        </w:rPr>
      </w:pPr>
      <w:r w:rsidRPr="00FF5130">
        <w:rPr>
          <w:color w:val="000000"/>
        </w:rPr>
        <w:t xml:space="preserve">Zavedení institutu „posuzující osoba“ předpokládá na základě statistických dat k 30. 9. 2018 </w:t>
      </w:r>
      <w:r w:rsidR="00745E9B" w:rsidRPr="00FF5130">
        <w:rPr>
          <w:color w:val="000000"/>
        </w:rPr>
        <w:t>posouzení cca 10 % vydaných doporučení ke zřízení funkce asistenta pedagoga a 5 % k doporučení zařazení do školy/třídy zřízené podle § 16 odst. 9 školského zákona.</w:t>
      </w:r>
    </w:p>
    <w:p w:rsidR="00211BAA" w:rsidRPr="00FF5130" w:rsidRDefault="00211BAA" w:rsidP="00C052EF">
      <w:pPr>
        <w:spacing w:before="120"/>
        <w:jc w:val="both"/>
        <w:rPr>
          <w:color w:val="000000"/>
        </w:rPr>
      </w:pPr>
      <w:r w:rsidRPr="00FF5130">
        <w:rPr>
          <w:noProof/>
        </w:rPr>
        <w:drawing>
          <wp:inline distT="0" distB="0" distL="0" distR="0">
            <wp:extent cx="5760316" cy="188023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954" cy="1881423"/>
                    </a:xfrm>
                    <a:prstGeom prst="rect">
                      <a:avLst/>
                    </a:prstGeom>
                    <a:noFill/>
                    <a:ln>
                      <a:noFill/>
                    </a:ln>
                  </pic:spPr>
                </pic:pic>
              </a:graphicData>
            </a:graphic>
          </wp:inline>
        </w:drawing>
      </w:r>
    </w:p>
    <w:p w:rsidR="00633D5A" w:rsidRPr="00FF5130" w:rsidRDefault="00633D5A" w:rsidP="00C052EF">
      <w:pPr>
        <w:spacing w:before="120"/>
        <w:ind w:firstLine="1"/>
        <w:jc w:val="both"/>
        <w:rPr>
          <w:color w:val="000000" w:themeColor="text1"/>
        </w:rPr>
      </w:pPr>
      <w:r w:rsidRPr="00FF5130">
        <w:rPr>
          <w:color w:val="000000" w:themeColor="text1"/>
        </w:rPr>
        <w:t>Posuzující osoba bude postup ŠPZ hodnotit v</w:t>
      </w:r>
      <w:r w:rsidR="00FF5130" w:rsidRPr="00FF5130">
        <w:rPr>
          <w:color w:val="000000" w:themeColor="text1"/>
        </w:rPr>
        <w:t> </w:t>
      </w:r>
      <w:r w:rsidRPr="00FF5130">
        <w:rPr>
          <w:color w:val="000000" w:themeColor="text1"/>
        </w:rPr>
        <w:t>kontextu</w:t>
      </w:r>
      <w:r w:rsidR="00FF5130" w:rsidRPr="00FF5130">
        <w:rPr>
          <w:color w:val="000000" w:themeColor="text1"/>
        </w:rPr>
        <w:t xml:space="preserve"> standardů</w:t>
      </w:r>
      <w:r w:rsidRPr="00FF5130">
        <w:rPr>
          <w:color w:val="000000" w:themeColor="text1"/>
        </w:rPr>
        <w:t xml:space="preserve"> diagnostiky a nastavených intervenčních postupů, které budou na základě zmocnění tohoto zákona upřesněny v prováděcím právním předpisu</w:t>
      </w:r>
      <w:r w:rsidR="00FF5130" w:rsidRPr="00FF5130">
        <w:rPr>
          <w:color w:val="000000" w:themeColor="text1"/>
        </w:rPr>
        <w:t xml:space="preserve"> – vyhláška č. 72/2005 Sb. o poskytování poradenských služeb </w:t>
      </w:r>
      <w:r w:rsidR="00FF5130" w:rsidRPr="00FF5130">
        <w:rPr>
          <w:rStyle w:val="nodename1"/>
          <w:color w:val="000000" w:themeColor="text1"/>
          <w:sz w:val="24"/>
          <w:szCs w:val="24"/>
          <w:specVanish w:val="0"/>
        </w:rPr>
        <w:t>ve školách a školských poradenských zařízeních</w:t>
      </w:r>
      <w:r w:rsidR="00FF5130">
        <w:rPr>
          <w:rStyle w:val="nodename1"/>
          <w:color w:val="000000" w:themeColor="text1"/>
          <w:sz w:val="24"/>
          <w:szCs w:val="24"/>
          <w:specVanish w:val="0"/>
        </w:rPr>
        <w:t>, ve znění pozdějších předpisů.</w:t>
      </w:r>
    </w:p>
    <w:p w:rsidR="00130953" w:rsidRPr="00C052EF" w:rsidRDefault="00E55F92" w:rsidP="00C052EF">
      <w:pPr>
        <w:spacing w:before="120"/>
        <w:ind w:firstLine="1"/>
        <w:jc w:val="both"/>
        <w:rPr>
          <w:b/>
          <w:color w:val="000000"/>
        </w:rPr>
      </w:pPr>
      <w:r w:rsidRPr="00C052EF">
        <w:rPr>
          <w:b/>
          <w:color w:val="000000"/>
        </w:rPr>
        <w:t>1</w:t>
      </w:r>
      <w:r w:rsidR="00130953" w:rsidRPr="00C052EF">
        <w:rPr>
          <w:b/>
          <w:color w:val="000000"/>
        </w:rPr>
        <w:t>.</w:t>
      </w:r>
      <w:r w:rsidR="002E1198" w:rsidRPr="00C052EF">
        <w:rPr>
          <w:b/>
          <w:color w:val="000000"/>
        </w:rPr>
        <w:t>5</w:t>
      </w:r>
      <w:r w:rsidR="00130953" w:rsidRPr="00C052EF">
        <w:rPr>
          <w:b/>
          <w:color w:val="000000"/>
        </w:rPr>
        <w:t xml:space="preserve"> Zhodnocení rizika</w:t>
      </w:r>
    </w:p>
    <w:p w:rsidR="00130953" w:rsidRPr="00C052EF" w:rsidRDefault="00130953" w:rsidP="00C052EF">
      <w:pPr>
        <w:spacing w:before="120"/>
        <w:jc w:val="both"/>
      </w:pPr>
      <w:r w:rsidRPr="00C052EF">
        <w:t xml:space="preserve">Současné možnosti kontroly rozdělování finančních prostředků státního rozpočtu na PO jsou nesystémové, chybí jasná stanoviska ze strany </w:t>
      </w:r>
      <w:r w:rsidR="00F00F06">
        <w:t>ministerstva</w:t>
      </w:r>
      <w:r w:rsidRPr="00C052EF">
        <w:t xml:space="preserve">, což je resortu vytýkáno. Ukazuje se, že problém mezikrajových rozdílů nespočívá pouze v sociálním složení obyvatel dané lokality, ale právě v nesprávně komunikovaném a nejednotném přístupu ŠPZ k doporučování PO konkrétnímu žákovi v dané třídě/škole. Doporučování a financování PO je aktuálně navrženo tak, aby ŠPZ všech zřizovatelů bez přímé zodpovědnosti rozdělovala finanční prostředky státního rozpočtu bez kontextu celého systému vzdělávání žáků se SVP. Zpětná vazba je dílčí, spíše nahodilá a dosud řeší spíše extrémní případy ex post. Bez možnosti kontroly a řízení </w:t>
      </w:r>
      <w:r w:rsidR="0036658B">
        <w:t xml:space="preserve">ŠPZ </w:t>
      </w:r>
      <w:r w:rsidRPr="00C052EF">
        <w:t>bude poskytování PO nadále nesystémové a nekoncepční, jejich finanční náročnost bude nekontrolovatelná.</w:t>
      </w:r>
    </w:p>
    <w:p w:rsidR="00E00805" w:rsidRPr="00C052EF" w:rsidRDefault="00130953" w:rsidP="00C052EF">
      <w:pPr>
        <w:spacing w:before="120"/>
        <w:jc w:val="both"/>
      </w:pPr>
      <w:r w:rsidRPr="00C052EF">
        <w:lastRenderedPageBreak/>
        <w:t xml:space="preserve">Dosavadní legislativní úprava neumožňuje ministerstvu zasahovat do </w:t>
      </w:r>
      <w:r w:rsidR="00622119" w:rsidRPr="00C052EF">
        <w:t xml:space="preserve">připravovaných </w:t>
      </w:r>
      <w:r w:rsidRPr="00C052EF">
        <w:t>doporučení</w:t>
      </w:r>
      <w:r w:rsidR="000319ED">
        <w:t xml:space="preserve"> a podílet se na kontrole</w:t>
      </w:r>
      <w:r w:rsidRPr="00C052EF">
        <w:t xml:space="preserve"> </w:t>
      </w:r>
      <w:r w:rsidR="000319ED">
        <w:t xml:space="preserve">směřující k </w:t>
      </w:r>
      <w:r w:rsidRPr="00C052EF">
        <w:t xml:space="preserve">zajištění </w:t>
      </w:r>
      <w:r w:rsidR="000319ED">
        <w:t xml:space="preserve">srovnatelnosti </w:t>
      </w:r>
      <w:r w:rsidRPr="00C052EF">
        <w:t>v jejich</w:t>
      </w:r>
      <w:r w:rsidR="000319ED">
        <w:t xml:space="preserve"> obsahu</w:t>
      </w:r>
      <w:r w:rsidRPr="00C052EF">
        <w:t>. Proces kontroly sice existuje, nicméně je uplatňován se zpožděním, kdy už k nejednotnému přístupu dochází a byly předány podněty k šetření či nápravy. I ze statistických dat jsou informace získávány jednou ročně a řízení poradenského systému je případně realizováno s dlouhým prodlením. Snahou předkladatele je uvedené nedostatky eliminovat níže popsanou novelou školského zákona</w:t>
      </w:r>
      <w:r w:rsidR="00F00F06">
        <w:t xml:space="preserve"> (zejména § 16c)</w:t>
      </w:r>
      <w:r w:rsidRPr="00C052EF">
        <w:t>.</w:t>
      </w:r>
      <w:r w:rsidR="00E00805">
        <w:t xml:space="preserve"> Se vzděláváním žáků se </w:t>
      </w:r>
      <w:r w:rsidR="00ED2B5F">
        <w:t xml:space="preserve">SVP </w:t>
      </w:r>
      <w:r w:rsidR="00E00805">
        <w:t>je stále spojena významná administrativní zátěž.</w:t>
      </w:r>
    </w:p>
    <w:p w:rsidR="00E739F6" w:rsidRPr="00C052EF" w:rsidRDefault="003724EF" w:rsidP="00C052EF">
      <w:pPr>
        <w:shd w:val="clear" w:color="auto" w:fill="B8CCE4" w:themeFill="accent1" w:themeFillTint="66"/>
        <w:spacing w:before="120"/>
        <w:ind w:firstLine="1"/>
        <w:jc w:val="both"/>
        <w:rPr>
          <w:b/>
          <w:color w:val="000000"/>
        </w:rPr>
      </w:pPr>
      <w:r w:rsidRPr="00C052EF">
        <w:rPr>
          <w:b/>
          <w:color w:val="000000"/>
        </w:rPr>
        <w:t>2.</w:t>
      </w:r>
      <w:r w:rsidR="00E739F6" w:rsidRPr="00C052EF">
        <w:rPr>
          <w:b/>
          <w:color w:val="000000"/>
        </w:rPr>
        <w:t xml:space="preserve"> Návrh variant řešení</w:t>
      </w:r>
    </w:p>
    <w:p w:rsidR="00E739F6" w:rsidRPr="00C052EF" w:rsidRDefault="00E739F6" w:rsidP="00C052EF">
      <w:pPr>
        <w:spacing w:before="120"/>
        <w:jc w:val="both"/>
      </w:pPr>
      <w:r w:rsidRPr="00C052EF">
        <w:t>Při zvažování různých variant identifikovaného problému z obecného (regulatorně-technického) hlediska, které by mohly vést ke stanovenému cíli, byly zvažovány varianty:</w:t>
      </w:r>
    </w:p>
    <w:p w:rsidR="002538C5" w:rsidRPr="00C052EF" w:rsidRDefault="00C052EF" w:rsidP="00C052EF">
      <w:pPr>
        <w:spacing w:before="120"/>
        <w:jc w:val="both"/>
        <w:rPr>
          <w:color w:val="000000"/>
          <w:u w:val="single"/>
        </w:rPr>
      </w:pPr>
      <w:r>
        <w:rPr>
          <w:u w:val="single"/>
        </w:rPr>
        <w:t>2</w:t>
      </w:r>
      <w:r w:rsidR="002E1A33" w:rsidRPr="00C052EF">
        <w:rPr>
          <w:u w:val="single"/>
        </w:rPr>
        <w:t>.1 V</w:t>
      </w:r>
      <w:r w:rsidR="007B0F9B" w:rsidRPr="00C052EF">
        <w:rPr>
          <w:color w:val="000000"/>
          <w:u w:val="single"/>
        </w:rPr>
        <w:t xml:space="preserve">ARIANTA </w:t>
      </w:r>
      <w:r w:rsidR="007B0F9B" w:rsidRPr="00C052EF">
        <w:rPr>
          <w:u w:val="single"/>
        </w:rPr>
        <w:t>NULOVÁ</w:t>
      </w:r>
      <w:r w:rsidR="002E1A33" w:rsidRPr="00C052EF">
        <w:rPr>
          <w:color w:val="000000"/>
          <w:u w:val="single"/>
        </w:rPr>
        <w:t xml:space="preserve"> – Zachování existujícího právního stavu</w:t>
      </w:r>
    </w:p>
    <w:p w:rsidR="002538C5" w:rsidRPr="00C052EF" w:rsidRDefault="002538C5" w:rsidP="00C052EF">
      <w:pPr>
        <w:spacing w:before="120"/>
        <w:jc w:val="both"/>
        <w:rPr>
          <w:color w:val="000000"/>
        </w:rPr>
      </w:pPr>
      <w:r w:rsidRPr="00C052EF">
        <w:rPr>
          <w:color w:val="000000"/>
        </w:rPr>
        <w:t xml:space="preserve">Zachování stávajícího právního stavu. Při této variantě nebude naplněn cíl předkladatele </w:t>
      </w:r>
      <w:r w:rsidR="00897070" w:rsidRPr="00C052EF">
        <w:rPr>
          <w:color w:val="000000"/>
        </w:rPr>
        <w:t>spočívající v</w:t>
      </w:r>
      <w:r w:rsidRPr="00C052EF">
        <w:rPr>
          <w:color w:val="000000"/>
        </w:rPr>
        <w:t xml:space="preserve"> odstranění systémových rozdílů v poskytování </w:t>
      </w:r>
      <w:r w:rsidR="002021AC" w:rsidRPr="00C052EF">
        <w:rPr>
          <w:color w:val="000000"/>
        </w:rPr>
        <w:t>PO</w:t>
      </w:r>
      <w:r w:rsidRPr="00C052EF">
        <w:rPr>
          <w:color w:val="000000"/>
        </w:rPr>
        <w:t xml:space="preserve"> a</w:t>
      </w:r>
      <w:r w:rsidR="00642CB9" w:rsidRPr="00C052EF">
        <w:rPr>
          <w:color w:val="000000"/>
        </w:rPr>
        <w:t> </w:t>
      </w:r>
      <w:r w:rsidRPr="00C052EF">
        <w:rPr>
          <w:color w:val="000000"/>
        </w:rPr>
        <w:t>zajištění účelného čerpání finanční</w:t>
      </w:r>
      <w:r w:rsidR="00F00F06">
        <w:rPr>
          <w:color w:val="000000"/>
        </w:rPr>
        <w:t>ch</w:t>
      </w:r>
      <w:r w:rsidRPr="00C052EF">
        <w:rPr>
          <w:color w:val="000000"/>
        </w:rPr>
        <w:t xml:space="preserve"> prostředků státního rozpočtu.</w:t>
      </w:r>
      <w:r w:rsidR="000319ED">
        <w:rPr>
          <w:color w:val="000000"/>
        </w:rPr>
        <w:t xml:space="preserve"> Stále bude přetrvávat významná administrativní zátěž na straně školy spojená s poskytováním </w:t>
      </w:r>
      <w:r w:rsidR="00F00F06">
        <w:rPr>
          <w:color w:val="000000"/>
        </w:rPr>
        <w:t>PO</w:t>
      </w:r>
      <w:r w:rsidR="000319ED">
        <w:rPr>
          <w:color w:val="000000"/>
        </w:rPr>
        <w:t>. Škola nadále nebude mít možnost jednat vždy v nejlepším zájmu žáka, pokud jí nebudou poskytnuty relevantní informace ze strany pracovníků o</w:t>
      </w:r>
      <w:r w:rsidR="00F00F06">
        <w:rPr>
          <w:color w:val="000000"/>
        </w:rPr>
        <w:t>rgánu</w:t>
      </w:r>
      <w:r w:rsidR="000319ED">
        <w:rPr>
          <w:color w:val="000000"/>
        </w:rPr>
        <w:t xml:space="preserve"> sociálně</w:t>
      </w:r>
      <w:r w:rsidR="00F00F06">
        <w:rPr>
          <w:color w:val="000000"/>
        </w:rPr>
        <w:t>-</w:t>
      </w:r>
      <w:r w:rsidR="000319ED">
        <w:rPr>
          <w:color w:val="000000"/>
        </w:rPr>
        <w:t>právní ochrany dětí.</w:t>
      </w:r>
    </w:p>
    <w:p w:rsidR="002E1A33" w:rsidRPr="00C052EF" w:rsidRDefault="00C052EF" w:rsidP="00C052EF">
      <w:pPr>
        <w:spacing w:before="120"/>
        <w:jc w:val="both"/>
        <w:rPr>
          <w:u w:val="single"/>
        </w:rPr>
      </w:pPr>
      <w:r>
        <w:rPr>
          <w:u w:val="single"/>
        </w:rPr>
        <w:t>2</w:t>
      </w:r>
      <w:r w:rsidR="002E1A33" w:rsidRPr="00C052EF">
        <w:rPr>
          <w:u w:val="single"/>
        </w:rPr>
        <w:t xml:space="preserve">.2 VARIANTA 1 </w:t>
      </w:r>
    </w:p>
    <w:p w:rsidR="002E1A33" w:rsidRPr="00C052EF" w:rsidRDefault="002E1A33" w:rsidP="00C052EF">
      <w:pPr>
        <w:spacing w:before="120"/>
        <w:jc w:val="both"/>
        <w:rPr>
          <w:color w:val="000000"/>
        </w:rPr>
      </w:pPr>
      <w:r w:rsidRPr="00C052EF">
        <w:rPr>
          <w:color w:val="000000"/>
        </w:rPr>
        <w:t>Varianta 1 znamená úpravu novely školského zákona takovým způsobem, aby byla legislativně ukotvena možnost průběžné kontroly vydávaných doporučení PO s cílem odstranění systémových rozdílů a zajištění účelného čerpání finanční</w:t>
      </w:r>
      <w:r w:rsidR="002021AC" w:rsidRPr="00C052EF">
        <w:rPr>
          <w:color w:val="000000"/>
        </w:rPr>
        <w:t>ch</w:t>
      </w:r>
      <w:r w:rsidRPr="00C052EF">
        <w:rPr>
          <w:color w:val="000000"/>
        </w:rPr>
        <w:t xml:space="preserve"> prostředků státního rozpočtu. V rámci </w:t>
      </w:r>
      <w:r w:rsidR="003E1B5B">
        <w:rPr>
          <w:color w:val="000000"/>
        </w:rPr>
        <w:t xml:space="preserve">jednotného </w:t>
      </w:r>
      <w:r w:rsidRPr="00C052EF">
        <w:rPr>
          <w:color w:val="000000"/>
        </w:rPr>
        <w:t>řízení ŠPZ a zřízení institutu „posuzující osoba“ lze zajistit (se</w:t>
      </w:r>
      <w:r w:rsidR="003E0AB8">
        <w:rPr>
          <w:color w:val="000000"/>
        </w:rPr>
        <w:t> </w:t>
      </w:r>
      <w:r w:rsidRPr="00C052EF">
        <w:rPr>
          <w:color w:val="000000"/>
        </w:rPr>
        <w:t xml:space="preserve">snížením administrativní zátěže škol a ŠPZ) doporučování PO s maximálním zohledněním míry </w:t>
      </w:r>
      <w:r w:rsidR="003E0AB8">
        <w:rPr>
          <w:color w:val="000000"/>
        </w:rPr>
        <w:t xml:space="preserve">SVP </w:t>
      </w:r>
      <w:r w:rsidRPr="00C052EF">
        <w:rPr>
          <w:color w:val="000000"/>
        </w:rPr>
        <w:t>žáka v dané škole/třídě, ve které je vzděláván. Současně bude probíhat kontrola respektování platné legislativy a jednotných postupů v rámci systému poskytování školských poradenských služeb.</w:t>
      </w:r>
      <w:r w:rsidR="00ED2B5F">
        <w:rPr>
          <w:color w:val="000000"/>
        </w:rPr>
        <w:t xml:space="preserve"> </w:t>
      </w:r>
    </w:p>
    <w:p w:rsidR="00ED2B5F" w:rsidRPr="00C052EF" w:rsidRDefault="002E1A33" w:rsidP="00ED2B5F">
      <w:pPr>
        <w:spacing w:before="120"/>
        <w:jc w:val="both"/>
        <w:rPr>
          <w:color w:val="000000"/>
        </w:rPr>
      </w:pPr>
      <w:r w:rsidRPr="00C052EF">
        <w:rPr>
          <w:color w:val="000000"/>
        </w:rPr>
        <w:t xml:space="preserve">Ve variantě 1 je zvažována možnost zřízení </w:t>
      </w:r>
      <w:r w:rsidR="00ED2B5F">
        <w:rPr>
          <w:color w:val="000000"/>
        </w:rPr>
        <w:t xml:space="preserve">posuzujících </w:t>
      </w:r>
      <w:r w:rsidRPr="00C052EF">
        <w:rPr>
          <w:color w:val="000000"/>
        </w:rPr>
        <w:t xml:space="preserve">pracovišť při </w:t>
      </w:r>
      <w:r w:rsidR="00A92AF6" w:rsidRPr="00C052EF">
        <w:rPr>
          <w:color w:val="000000"/>
        </w:rPr>
        <w:t xml:space="preserve">speciálně </w:t>
      </w:r>
      <w:r w:rsidR="00A92AF6" w:rsidRPr="00E00805">
        <w:rPr>
          <w:color w:val="000000"/>
        </w:rPr>
        <w:t>pedagogických centrech</w:t>
      </w:r>
      <w:r w:rsidRPr="00E00805">
        <w:rPr>
          <w:color w:val="000000"/>
        </w:rPr>
        <w:t xml:space="preserve"> zřizovaných </w:t>
      </w:r>
      <w:r w:rsidR="00F00F06">
        <w:rPr>
          <w:color w:val="000000"/>
        </w:rPr>
        <w:t>ministerstvem</w:t>
      </w:r>
      <w:r w:rsidRPr="00E00805">
        <w:rPr>
          <w:color w:val="000000"/>
        </w:rPr>
        <w:t xml:space="preserve">. </w:t>
      </w:r>
      <w:r w:rsidR="00ED2B5F">
        <w:rPr>
          <w:color w:val="000000"/>
        </w:rPr>
        <w:t>Tato varianta předpokládá kontrolu všech vydávaných doporučení s využitím informačního systému vzdělávání.</w:t>
      </w:r>
    </w:p>
    <w:p w:rsidR="002E1A33" w:rsidRPr="00C052EF" w:rsidRDefault="00C052EF" w:rsidP="00C052EF">
      <w:pPr>
        <w:spacing w:before="120"/>
        <w:jc w:val="both"/>
        <w:rPr>
          <w:u w:val="single"/>
        </w:rPr>
      </w:pPr>
      <w:r>
        <w:rPr>
          <w:u w:val="single"/>
        </w:rPr>
        <w:t>2.</w:t>
      </w:r>
      <w:r w:rsidR="00B97B6E" w:rsidRPr="00C052EF">
        <w:rPr>
          <w:u w:val="single"/>
        </w:rPr>
        <w:t>3</w:t>
      </w:r>
      <w:r w:rsidR="0036565D" w:rsidRPr="00C052EF">
        <w:rPr>
          <w:u w:val="single"/>
        </w:rPr>
        <w:t xml:space="preserve"> </w:t>
      </w:r>
      <w:r w:rsidR="002E1A33" w:rsidRPr="00C052EF">
        <w:rPr>
          <w:u w:val="single"/>
        </w:rPr>
        <w:t xml:space="preserve">VARIANTA 2 </w:t>
      </w:r>
    </w:p>
    <w:p w:rsidR="002E1A33" w:rsidRPr="00C052EF" w:rsidRDefault="002E1A33" w:rsidP="00C052EF">
      <w:pPr>
        <w:spacing w:before="120"/>
        <w:jc w:val="both"/>
        <w:rPr>
          <w:color w:val="000000"/>
        </w:rPr>
      </w:pPr>
      <w:r w:rsidRPr="00C052EF">
        <w:rPr>
          <w:color w:val="000000"/>
        </w:rPr>
        <w:t>Varianta 2 znamená úpravu novely školského zákona takovým způsobem, aby byla legislativně ukotvena možnost průběžné kontrol</w:t>
      </w:r>
      <w:r w:rsidR="0036565D" w:rsidRPr="00C052EF">
        <w:rPr>
          <w:color w:val="000000"/>
        </w:rPr>
        <w:t xml:space="preserve">y vydávaných doporučení PO </w:t>
      </w:r>
      <w:r w:rsidRPr="00C052EF">
        <w:rPr>
          <w:color w:val="000000"/>
        </w:rPr>
        <w:t xml:space="preserve">s cílem odstranění systémových rozdílů a zajištění účelného čerpání finanční prostředků státního rozpočtu. V rámci </w:t>
      </w:r>
      <w:r w:rsidR="00E00805">
        <w:rPr>
          <w:color w:val="000000"/>
        </w:rPr>
        <w:t>jednotného</w:t>
      </w:r>
      <w:r w:rsidRPr="00C052EF">
        <w:rPr>
          <w:color w:val="000000"/>
        </w:rPr>
        <w:t xml:space="preserve"> řízení ŠPZ a zřízení institutu „posuzující osoba“ bude </w:t>
      </w:r>
      <w:r w:rsidR="00E00805">
        <w:rPr>
          <w:color w:val="000000"/>
        </w:rPr>
        <w:t>řešení nevyhovující</w:t>
      </w:r>
      <w:r w:rsidR="007406D5">
        <w:rPr>
          <w:color w:val="000000"/>
        </w:rPr>
        <w:t xml:space="preserve"> situace</w:t>
      </w:r>
      <w:r w:rsidR="003E0AB8">
        <w:rPr>
          <w:color w:val="000000"/>
        </w:rPr>
        <w:t xml:space="preserve"> rozrůzněnosti obsahu doporučení</w:t>
      </w:r>
      <w:r w:rsidRPr="00C052EF">
        <w:rPr>
          <w:color w:val="000000"/>
        </w:rPr>
        <w:t xml:space="preserve"> rozděleno do dvou fází. Ke dni účinnosti novely školského zákona bude institut „posuzující osoba“ uplatněn při redukci významných rozdílů mezi jednotlivými pracovišti ŠPZ či kraji a udělení souhlasu s poskytnutím finančních prostředků státního rozpočtu se bude týkat pouze ministerstvem určeného okruhu doporučení. Po</w:t>
      </w:r>
      <w:r w:rsidR="007406D5">
        <w:rPr>
          <w:color w:val="000000"/>
        </w:rPr>
        <w:t> </w:t>
      </w:r>
      <w:r w:rsidRPr="00C052EF">
        <w:rPr>
          <w:color w:val="000000"/>
        </w:rPr>
        <w:t xml:space="preserve">zpřístupnění informačního systému vzdělávání </w:t>
      </w:r>
      <w:r w:rsidR="003E0AB8">
        <w:rPr>
          <w:color w:val="000000"/>
        </w:rPr>
        <w:t>a</w:t>
      </w:r>
      <w:r w:rsidRPr="00C052EF">
        <w:rPr>
          <w:color w:val="000000"/>
        </w:rPr>
        <w:t xml:space="preserve"> zajištění přístupu zainteresovaných subjektů budou doporučení a další související informace k udělení souhlasu ze strany právnické osoby zřízené </w:t>
      </w:r>
      <w:r w:rsidR="00F00F06">
        <w:rPr>
          <w:color w:val="000000"/>
        </w:rPr>
        <w:t>ministerstvem</w:t>
      </w:r>
      <w:r w:rsidRPr="00C052EF">
        <w:rPr>
          <w:color w:val="000000"/>
        </w:rPr>
        <w:t xml:space="preserve"> předávána prostřednictvím tohoto systému.</w:t>
      </w:r>
    </w:p>
    <w:p w:rsidR="007406D5" w:rsidRPr="00C052EF" w:rsidRDefault="00ED2B5F" w:rsidP="007406D5">
      <w:pPr>
        <w:spacing w:before="120"/>
        <w:jc w:val="both"/>
        <w:rPr>
          <w:spacing w:val="2"/>
        </w:rPr>
      </w:pPr>
      <w:r w:rsidRPr="00C052EF">
        <w:rPr>
          <w:color w:val="000000"/>
        </w:rPr>
        <w:t xml:space="preserve">Ve variantě 2 je zvažována možnost zřízení </w:t>
      </w:r>
      <w:r>
        <w:rPr>
          <w:color w:val="000000"/>
        </w:rPr>
        <w:t xml:space="preserve">posuzujících </w:t>
      </w:r>
      <w:r w:rsidRPr="00C052EF">
        <w:rPr>
          <w:color w:val="000000"/>
        </w:rPr>
        <w:t xml:space="preserve">pracovišť při speciálně pedagogických centrech zřizovaných </w:t>
      </w:r>
      <w:r w:rsidR="00F00F06">
        <w:rPr>
          <w:color w:val="000000"/>
        </w:rPr>
        <w:t>ministerstvem</w:t>
      </w:r>
      <w:r w:rsidRPr="00C052EF">
        <w:rPr>
          <w:color w:val="000000"/>
        </w:rPr>
        <w:t xml:space="preserve">. </w:t>
      </w:r>
      <w:r w:rsidR="007406D5" w:rsidRPr="00E00805">
        <w:rPr>
          <w:color w:val="000000"/>
        </w:rPr>
        <w:t xml:space="preserve">Úprava školského zákona ve smyslu zřízení právnické osoby </w:t>
      </w:r>
      <w:r w:rsidR="00F00F06">
        <w:rPr>
          <w:color w:val="000000"/>
        </w:rPr>
        <w:t>ministerstvem</w:t>
      </w:r>
      <w:r w:rsidR="007406D5" w:rsidRPr="00E00805">
        <w:rPr>
          <w:color w:val="000000"/>
        </w:rPr>
        <w:t xml:space="preserve"> umožní posuzujícím osobám podávat </w:t>
      </w:r>
      <w:r w:rsidR="007406D5">
        <w:rPr>
          <w:color w:val="000000"/>
        </w:rPr>
        <w:t xml:space="preserve">ve výjimečných případech </w:t>
      </w:r>
      <w:r w:rsidR="007406D5" w:rsidRPr="00E00805">
        <w:rPr>
          <w:color w:val="000000"/>
        </w:rPr>
        <w:t xml:space="preserve">žádost </w:t>
      </w:r>
      <w:r w:rsidR="007406D5" w:rsidRPr="00E00805">
        <w:rPr>
          <w:color w:val="000000"/>
        </w:rPr>
        <w:lastRenderedPageBreak/>
        <w:t>o</w:t>
      </w:r>
      <w:r w:rsidR="00741828">
        <w:rPr>
          <w:color w:val="000000"/>
        </w:rPr>
        <w:t> </w:t>
      </w:r>
      <w:r w:rsidR="007406D5" w:rsidRPr="00E00805">
        <w:rPr>
          <w:color w:val="000000"/>
        </w:rPr>
        <w:t>revizi doporučení, čímž bude zajištěna další možnost validity odborného diagnostického procesu před jeho vydáním.</w:t>
      </w:r>
      <w:r w:rsidR="007406D5" w:rsidRPr="00C052EF">
        <w:rPr>
          <w:color w:val="000000"/>
        </w:rPr>
        <w:t xml:space="preserve"> </w:t>
      </w:r>
    </w:p>
    <w:p w:rsidR="0052365D" w:rsidRPr="00C052EF" w:rsidRDefault="00CF11FF" w:rsidP="00C052EF">
      <w:pPr>
        <w:spacing w:before="120"/>
        <w:jc w:val="both"/>
        <w:rPr>
          <w:color w:val="000000"/>
        </w:rPr>
      </w:pPr>
      <w:r w:rsidRPr="00C052EF">
        <w:rPr>
          <w:color w:val="000000"/>
        </w:rPr>
        <w:t xml:space="preserve">Současně bude upřesněno zmocnění předkladatele ke </w:t>
      </w:r>
      <w:r w:rsidR="00DB061B" w:rsidRPr="00C052EF">
        <w:rPr>
          <w:color w:val="000000"/>
        </w:rPr>
        <w:t xml:space="preserve">specifikaci </w:t>
      </w:r>
      <w:r w:rsidRPr="00C052EF">
        <w:rPr>
          <w:color w:val="000000"/>
        </w:rPr>
        <w:t xml:space="preserve">podmínek poskytování informovaného souhlasu s PO, </w:t>
      </w:r>
      <w:r w:rsidR="009A4FAC" w:rsidRPr="00C052EF">
        <w:rPr>
          <w:color w:val="000000"/>
        </w:rPr>
        <w:t xml:space="preserve">k </w:t>
      </w:r>
      <w:r w:rsidRPr="00C052EF">
        <w:rPr>
          <w:color w:val="000000"/>
        </w:rPr>
        <w:t xml:space="preserve">využití okruhu diagnostických nástrojů a ke stanovení nejvyššího počtu </w:t>
      </w:r>
      <w:r w:rsidR="00F00F06">
        <w:rPr>
          <w:color w:val="000000"/>
        </w:rPr>
        <w:t>asistentů pedagoga</w:t>
      </w:r>
      <w:r w:rsidRPr="00C052EF">
        <w:rPr>
          <w:color w:val="000000"/>
        </w:rPr>
        <w:t xml:space="preserve"> ve třídě, oddělení či studijní skupině.</w:t>
      </w:r>
      <w:r w:rsidR="003E0AB8">
        <w:rPr>
          <w:color w:val="000000"/>
        </w:rPr>
        <w:t xml:space="preserve"> Varianta 2 navrhuje při bezdůvodném odmítnutí poskytnutí poradenské služby zákonným zástupcem vzájemnou </w:t>
      </w:r>
      <w:r w:rsidR="00F00F06">
        <w:rPr>
          <w:color w:val="000000"/>
        </w:rPr>
        <w:t>součinnost</w:t>
      </w:r>
      <w:r w:rsidR="003E0AB8">
        <w:rPr>
          <w:color w:val="000000"/>
        </w:rPr>
        <w:t xml:space="preserve"> s o</w:t>
      </w:r>
      <w:r w:rsidR="00F00F06">
        <w:rPr>
          <w:color w:val="000000"/>
        </w:rPr>
        <w:t>rgánem</w:t>
      </w:r>
      <w:r w:rsidR="003E0AB8">
        <w:rPr>
          <w:color w:val="000000"/>
        </w:rPr>
        <w:t xml:space="preserve"> sociálně</w:t>
      </w:r>
      <w:r w:rsidR="00F00F06">
        <w:rPr>
          <w:color w:val="000000"/>
        </w:rPr>
        <w:t>-</w:t>
      </w:r>
      <w:r w:rsidR="003E0AB8">
        <w:rPr>
          <w:color w:val="000000"/>
        </w:rPr>
        <w:t>právní ochrany dětí.</w:t>
      </w:r>
    </w:p>
    <w:p w:rsidR="003724EF" w:rsidRPr="00C052EF" w:rsidRDefault="003724EF" w:rsidP="00C052EF">
      <w:pPr>
        <w:shd w:val="clear" w:color="auto" w:fill="B8CCE4" w:themeFill="accent1" w:themeFillTint="66"/>
        <w:spacing w:before="120"/>
        <w:ind w:firstLine="1"/>
        <w:jc w:val="both"/>
        <w:rPr>
          <w:b/>
          <w:color w:val="000000"/>
        </w:rPr>
      </w:pPr>
      <w:r w:rsidRPr="00C052EF">
        <w:rPr>
          <w:b/>
          <w:color w:val="000000"/>
        </w:rPr>
        <w:t xml:space="preserve">3. Vyhodnocení nákladů a přínosů </w:t>
      </w:r>
    </w:p>
    <w:p w:rsidR="0052365D" w:rsidRPr="00C052EF" w:rsidRDefault="0052365D" w:rsidP="00C052EF">
      <w:pPr>
        <w:spacing w:before="120"/>
        <w:jc w:val="both"/>
        <w:rPr>
          <w:u w:val="single"/>
        </w:rPr>
      </w:pPr>
      <w:r w:rsidRPr="00C052EF">
        <w:rPr>
          <w:u w:val="single"/>
        </w:rPr>
        <w:t xml:space="preserve">3.1 </w:t>
      </w:r>
      <w:r w:rsidR="003724EF" w:rsidRPr="00C052EF">
        <w:rPr>
          <w:u w:val="single"/>
        </w:rPr>
        <w:t xml:space="preserve">Identifikace nákladů a přínosů </w:t>
      </w:r>
    </w:p>
    <w:p w:rsidR="00237C94" w:rsidRPr="00C052EF" w:rsidRDefault="00237C94" w:rsidP="00C052EF">
      <w:pPr>
        <w:spacing w:before="120"/>
        <w:jc w:val="both"/>
      </w:pPr>
      <w:r w:rsidRPr="00C052EF">
        <w:rPr>
          <w:color w:val="000000"/>
        </w:rPr>
        <w:t>Při za</w:t>
      </w:r>
      <w:r w:rsidRPr="00C052EF">
        <w:t>chování aktuálního právního stavu</w:t>
      </w:r>
      <w:r w:rsidR="00EA2BEB" w:rsidRPr="00C052EF">
        <w:t xml:space="preserve">, tedy </w:t>
      </w:r>
      <w:r w:rsidR="002021AC" w:rsidRPr="00C052EF">
        <w:t xml:space="preserve">variantě </w:t>
      </w:r>
      <w:r w:rsidR="00EA2BEB" w:rsidRPr="00C052EF">
        <w:t>0</w:t>
      </w:r>
      <w:r w:rsidRPr="00C052EF">
        <w:t>, může docházet k nežádoucím důsledkům spočívajícím v</w:t>
      </w:r>
      <w:r w:rsidR="002021AC" w:rsidRPr="00C052EF">
        <w:t>:</w:t>
      </w:r>
      <w:r w:rsidRPr="00C052EF">
        <w:t xml:space="preserve"> </w:t>
      </w:r>
    </w:p>
    <w:p w:rsidR="00237C94" w:rsidRPr="00C052EF" w:rsidRDefault="00237C94" w:rsidP="003E1B5B">
      <w:pPr>
        <w:pStyle w:val="Odstavecseseznamem"/>
        <w:numPr>
          <w:ilvl w:val="0"/>
          <w:numId w:val="22"/>
        </w:numPr>
        <w:spacing w:before="120" w:line="240" w:lineRule="auto"/>
        <w:ind w:left="425" w:hanging="425"/>
        <w:rPr>
          <w:rFonts w:ascii="Times New Roman" w:hAnsi="Times New Roman"/>
          <w:sz w:val="24"/>
        </w:rPr>
      </w:pPr>
      <w:r w:rsidRPr="00C052EF">
        <w:rPr>
          <w:rFonts w:ascii="Times New Roman" w:hAnsi="Times New Roman"/>
          <w:sz w:val="24"/>
        </w:rPr>
        <w:t>nadužívání normovaných finančních nákladů, často i bez významného dopadu do</w:t>
      </w:r>
      <w:r w:rsidR="007E4906">
        <w:rPr>
          <w:rFonts w:ascii="Times New Roman" w:hAnsi="Times New Roman"/>
          <w:sz w:val="24"/>
        </w:rPr>
        <w:t> </w:t>
      </w:r>
      <w:r w:rsidRPr="00C052EF">
        <w:rPr>
          <w:rFonts w:ascii="Times New Roman" w:hAnsi="Times New Roman"/>
          <w:sz w:val="24"/>
        </w:rPr>
        <w:t>vzdělávání a na skutečnou inkluzi žáka,</w:t>
      </w:r>
    </w:p>
    <w:p w:rsidR="00237C94" w:rsidRPr="00C052EF" w:rsidRDefault="00237C94" w:rsidP="003E1B5B">
      <w:pPr>
        <w:pStyle w:val="Odstavecseseznamem"/>
        <w:numPr>
          <w:ilvl w:val="0"/>
          <w:numId w:val="22"/>
        </w:numPr>
        <w:spacing w:before="120" w:line="240" w:lineRule="auto"/>
        <w:ind w:left="425" w:hanging="425"/>
        <w:contextualSpacing w:val="0"/>
        <w:rPr>
          <w:rFonts w:ascii="Times New Roman" w:hAnsi="Times New Roman"/>
          <w:sz w:val="24"/>
        </w:rPr>
      </w:pPr>
      <w:r w:rsidRPr="00C052EF">
        <w:rPr>
          <w:rFonts w:ascii="Times New Roman" w:hAnsi="Times New Roman"/>
          <w:sz w:val="24"/>
        </w:rPr>
        <w:t>nejednotnosti doporučování PO při stejném druhu zdravotního postižení a bez respektování konkrétních podmínek školy/třídy, kde je žák vzděláván,</w:t>
      </w:r>
    </w:p>
    <w:p w:rsidR="007406D5" w:rsidRDefault="00237C94" w:rsidP="003E1B5B">
      <w:pPr>
        <w:pStyle w:val="Odstavecseseznamem"/>
        <w:numPr>
          <w:ilvl w:val="0"/>
          <w:numId w:val="22"/>
        </w:numPr>
        <w:spacing w:before="120" w:line="240" w:lineRule="auto"/>
        <w:ind w:left="425" w:hanging="425"/>
        <w:contextualSpacing w:val="0"/>
        <w:rPr>
          <w:rFonts w:ascii="Times New Roman" w:hAnsi="Times New Roman"/>
          <w:sz w:val="24"/>
        </w:rPr>
      </w:pPr>
      <w:r w:rsidRPr="00C052EF">
        <w:rPr>
          <w:rFonts w:ascii="Times New Roman" w:hAnsi="Times New Roman"/>
          <w:sz w:val="24"/>
        </w:rPr>
        <w:t>neefektivní</w:t>
      </w:r>
      <w:r w:rsidR="002021AC" w:rsidRPr="00C052EF">
        <w:rPr>
          <w:rFonts w:ascii="Times New Roman" w:hAnsi="Times New Roman"/>
          <w:sz w:val="24"/>
        </w:rPr>
        <w:t>mu</w:t>
      </w:r>
      <w:r w:rsidRPr="00C052EF">
        <w:rPr>
          <w:rFonts w:ascii="Times New Roman" w:hAnsi="Times New Roman"/>
          <w:sz w:val="24"/>
        </w:rPr>
        <w:t xml:space="preserve"> a nedostatečně kontrolované</w:t>
      </w:r>
      <w:r w:rsidR="002021AC" w:rsidRPr="00C052EF">
        <w:rPr>
          <w:rFonts w:ascii="Times New Roman" w:hAnsi="Times New Roman"/>
          <w:sz w:val="24"/>
        </w:rPr>
        <w:t>mu</w:t>
      </w:r>
      <w:r w:rsidRPr="00C052EF">
        <w:rPr>
          <w:rFonts w:ascii="Times New Roman" w:hAnsi="Times New Roman"/>
          <w:sz w:val="24"/>
        </w:rPr>
        <w:t xml:space="preserve"> přidělování finančních prostředků státního rozpočtu ze strany ŠPZ všech zřizovatelů</w:t>
      </w:r>
      <w:r w:rsidR="007406D5">
        <w:rPr>
          <w:rFonts w:ascii="Times New Roman" w:hAnsi="Times New Roman"/>
          <w:sz w:val="24"/>
        </w:rPr>
        <w:t>,</w:t>
      </w:r>
    </w:p>
    <w:p w:rsidR="00237C94" w:rsidRDefault="007406D5" w:rsidP="003E1B5B">
      <w:pPr>
        <w:pStyle w:val="Odstavecseseznamem"/>
        <w:numPr>
          <w:ilvl w:val="0"/>
          <w:numId w:val="22"/>
        </w:numPr>
        <w:spacing w:before="120" w:line="240" w:lineRule="auto"/>
        <w:ind w:left="425" w:hanging="425"/>
        <w:contextualSpacing w:val="0"/>
        <w:rPr>
          <w:rFonts w:ascii="Times New Roman" w:hAnsi="Times New Roman"/>
          <w:sz w:val="24"/>
        </w:rPr>
      </w:pPr>
      <w:r>
        <w:rPr>
          <w:rFonts w:ascii="Times New Roman" w:hAnsi="Times New Roman"/>
          <w:sz w:val="24"/>
        </w:rPr>
        <w:t>přetrvávající administrativní zátěž,</w:t>
      </w:r>
    </w:p>
    <w:p w:rsidR="007406D5" w:rsidRPr="00C052EF" w:rsidRDefault="007406D5" w:rsidP="003E1B5B">
      <w:pPr>
        <w:pStyle w:val="Odstavecseseznamem"/>
        <w:numPr>
          <w:ilvl w:val="0"/>
          <w:numId w:val="22"/>
        </w:numPr>
        <w:spacing w:before="120" w:line="240" w:lineRule="auto"/>
        <w:ind w:left="425" w:hanging="425"/>
        <w:contextualSpacing w:val="0"/>
        <w:rPr>
          <w:rFonts w:ascii="Times New Roman" w:hAnsi="Times New Roman"/>
          <w:sz w:val="24"/>
        </w:rPr>
      </w:pPr>
      <w:r>
        <w:rPr>
          <w:rFonts w:ascii="Times New Roman" w:hAnsi="Times New Roman"/>
          <w:sz w:val="24"/>
        </w:rPr>
        <w:t>ohrožení nejlepšího zájmu žáků při zajištění odborné poradenské služby a odpovídajících podmínek vzdělávání.</w:t>
      </w:r>
    </w:p>
    <w:p w:rsidR="00237C94" w:rsidRPr="00C052EF" w:rsidRDefault="001F602C" w:rsidP="00C052EF">
      <w:pPr>
        <w:spacing w:before="120"/>
      </w:pPr>
      <w:r w:rsidRPr="00C052EF">
        <w:t>Z</w:t>
      </w:r>
      <w:r w:rsidR="00237C94" w:rsidRPr="00C052EF">
        <w:t xml:space="preserve">avedení potřebných opatření </w:t>
      </w:r>
      <w:r w:rsidRPr="00C052EF">
        <w:t>může</w:t>
      </w:r>
      <w:r w:rsidR="00237C94" w:rsidRPr="00C052EF">
        <w:t xml:space="preserve"> vést k následujícím nežádoucím důsledkům:</w:t>
      </w:r>
    </w:p>
    <w:p w:rsidR="00237C94" w:rsidRPr="00C052EF" w:rsidRDefault="00237C94" w:rsidP="003E1B5B">
      <w:pPr>
        <w:pStyle w:val="Odstavecseseznamem"/>
        <w:numPr>
          <w:ilvl w:val="0"/>
          <w:numId w:val="23"/>
        </w:numPr>
        <w:spacing w:before="120" w:line="240" w:lineRule="auto"/>
        <w:ind w:left="425" w:hanging="425"/>
        <w:contextualSpacing w:val="0"/>
        <w:rPr>
          <w:rFonts w:ascii="Times New Roman" w:hAnsi="Times New Roman"/>
          <w:sz w:val="24"/>
        </w:rPr>
      </w:pPr>
      <w:r w:rsidRPr="00C052EF">
        <w:rPr>
          <w:rFonts w:ascii="Times New Roman" w:hAnsi="Times New Roman"/>
          <w:sz w:val="24"/>
        </w:rPr>
        <w:t>zvýšení nároků na odpovědnost ŠPZ,</w:t>
      </w:r>
    </w:p>
    <w:p w:rsidR="00237C94" w:rsidRPr="00C052EF" w:rsidRDefault="00237C94" w:rsidP="003E1B5B">
      <w:pPr>
        <w:pStyle w:val="Odstavecseseznamem"/>
        <w:numPr>
          <w:ilvl w:val="0"/>
          <w:numId w:val="23"/>
        </w:numPr>
        <w:spacing w:before="120" w:line="240" w:lineRule="auto"/>
        <w:ind w:left="425" w:hanging="425"/>
        <w:contextualSpacing w:val="0"/>
        <w:rPr>
          <w:rFonts w:ascii="Times New Roman" w:hAnsi="Times New Roman"/>
          <w:sz w:val="24"/>
        </w:rPr>
      </w:pPr>
      <w:r w:rsidRPr="00C052EF">
        <w:rPr>
          <w:rFonts w:ascii="Times New Roman" w:hAnsi="Times New Roman"/>
          <w:sz w:val="24"/>
        </w:rPr>
        <w:t>rezistenci zřizovatelů, ředitelů a pracovníků ŠPZ,</w:t>
      </w:r>
    </w:p>
    <w:p w:rsidR="00D613A1" w:rsidRPr="00C052EF" w:rsidRDefault="00237C94" w:rsidP="003E1B5B">
      <w:pPr>
        <w:pStyle w:val="Odstavecseseznamem"/>
        <w:numPr>
          <w:ilvl w:val="0"/>
          <w:numId w:val="23"/>
        </w:numPr>
        <w:spacing w:before="120" w:line="240" w:lineRule="auto"/>
        <w:ind w:left="425" w:hanging="425"/>
        <w:contextualSpacing w:val="0"/>
        <w:rPr>
          <w:rFonts w:ascii="Times New Roman" w:hAnsi="Times New Roman"/>
          <w:sz w:val="24"/>
        </w:rPr>
      </w:pPr>
      <w:r w:rsidRPr="00C052EF">
        <w:rPr>
          <w:rFonts w:ascii="Times New Roman" w:hAnsi="Times New Roman"/>
          <w:sz w:val="24"/>
        </w:rPr>
        <w:t>zvyšujícím se finančním nákladům na vybavení kontrolních pracovišť a</w:t>
      </w:r>
      <w:r w:rsidR="007E4906">
        <w:rPr>
          <w:rFonts w:ascii="Times New Roman" w:hAnsi="Times New Roman"/>
          <w:sz w:val="24"/>
        </w:rPr>
        <w:t> </w:t>
      </w:r>
      <w:r w:rsidRPr="00C052EF">
        <w:rPr>
          <w:rFonts w:ascii="Times New Roman" w:hAnsi="Times New Roman"/>
          <w:sz w:val="24"/>
        </w:rPr>
        <w:t>činnost posuzujících osob.</w:t>
      </w:r>
    </w:p>
    <w:p w:rsidR="001F602C" w:rsidRPr="00C052EF" w:rsidRDefault="001F602C" w:rsidP="00C052EF">
      <w:pPr>
        <w:spacing w:before="120"/>
        <w:jc w:val="both"/>
        <w:rPr>
          <w:u w:val="single"/>
        </w:rPr>
      </w:pPr>
      <w:r w:rsidRPr="00C052EF">
        <w:rPr>
          <w:u w:val="single"/>
        </w:rPr>
        <w:t>3.</w:t>
      </w:r>
      <w:r w:rsidR="003724EF" w:rsidRPr="00C052EF">
        <w:rPr>
          <w:u w:val="single"/>
        </w:rPr>
        <w:t>1.1</w:t>
      </w:r>
      <w:r w:rsidRPr="00C052EF">
        <w:rPr>
          <w:u w:val="single"/>
        </w:rPr>
        <w:t xml:space="preserve">. Identifikace nákladů </w:t>
      </w:r>
      <w:r w:rsidR="002021AC" w:rsidRPr="00C052EF">
        <w:rPr>
          <w:u w:val="single"/>
        </w:rPr>
        <w:t xml:space="preserve">varianty </w:t>
      </w:r>
      <w:r w:rsidRPr="00C052EF">
        <w:rPr>
          <w:u w:val="single"/>
        </w:rPr>
        <w:t>0</w:t>
      </w:r>
    </w:p>
    <w:p w:rsidR="00AA5293" w:rsidRPr="00C052EF" w:rsidRDefault="00AA5293" w:rsidP="00C052EF">
      <w:pPr>
        <w:spacing w:before="120"/>
        <w:jc w:val="both"/>
        <w:rPr>
          <w:u w:val="single"/>
        </w:rPr>
      </w:pPr>
      <w:r w:rsidRPr="00C052EF">
        <w:rPr>
          <w:u w:val="single"/>
        </w:rPr>
        <w:t>Náklady a rizika</w:t>
      </w:r>
    </w:p>
    <w:p w:rsidR="001F602C" w:rsidRPr="00C052EF" w:rsidRDefault="001F602C" w:rsidP="00C052EF">
      <w:pPr>
        <w:spacing w:before="120"/>
        <w:jc w:val="both"/>
      </w:pPr>
      <w:r w:rsidRPr="00C052EF">
        <w:t>Neřešení aktuálního legislativního stavu může vést k nadužívání finančních prostředků státního rozpočtu a ohrožovat rovný přístup při doporuč</w:t>
      </w:r>
      <w:r w:rsidR="0044234C">
        <w:t>ová</w:t>
      </w:r>
      <w:r w:rsidRPr="00C052EF">
        <w:t>ní PO v rámci systému. Stávající platný</w:t>
      </w:r>
      <w:r w:rsidR="005A47FA" w:rsidRPr="00C052EF">
        <w:t xml:space="preserve"> legislativní</w:t>
      </w:r>
      <w:r w:rsidRPr="00C052EF">
        <w:t xml:space="preserve"> stav </w:t>
      </w:r>
      <w:r w:rsidR="00B77989" w:rsidRPr="00C052EF">
        <w:t>způsobuje</w:t>
      </w:r>
      <w:r w:rsidRPr="00C052EF">
        <w:t xml:space="preserve"> nejednotnost doporučování PO při stejné </w:t>
      </w:r>
      <w:r w:rsidR="00B77989" w:rsidRPr="00C052EF">
        <w:t>potřebě PO jednotlivých žáků.</w:t>
      </w:r>
    </w:p>
    <w:p w:rsidR="005A47FA" w:rsidRPr="00C052EF" w:rsidRDefault="005A47FA" w:rsidP="00C052EF">
      <w:pPr>
        <w:spacing w:before="120"/>
        <w:jc w:val="both"/>
        <w:rPr>
          <w:u w:val="single"/>
        </w:rPr>
      </w:pPr>
      <w:r w:rsidRPr="00C052EF">
        <w:rPr>
          <w:u w:val="single"/>
        </w:rPr>
        <w:t>3.1.2</w:t>
      </w:r>
      <w:r w:rsidR="00693389" w:rsidRPr="00C052EF">
        <w:rPr>
          <w:u w:val="single"/>
        </w:rPr>
        <w:t xml:space="preserve"> </w:t>
      </w:r>
      <w:r w:rsidRPr="00C052EF">
        <w:rPr>
          <w:u w:val="single"/>
        </w:rPr>
        <w:t xml:space="preserve">Identifikace nákladů a přínosů </w:t>
      </w:r>
      <w:r w:rsidR="002021AC" w:rsidRPr="00C052EF">
        <w:rPr>
          <w:u w:val="single"/>
        </w:rPr>
        <w:t xml:space="preserve">varianty </w:t>
      </w:r>
      <w:r w:rsidRPr="00C052EF">
        <w:rPr>
          <w:u w:val="single"/>
        </w:rPr>
        <w:t>1</w:t>
      </w:r>
    </w:p>
    <w:p w:rsidR="00AA5293" w:rsidRPr="00C052EF" w:rsidRDefault="00AA5293" w:rsidP="00C052EF">
      <w:pPr>
        <w:spacing w:before="120"/>
        <w:jc w:val="both"/>
        <w:rPr>
          <w:rFonts w:eastAsiaTheme="minorHAnsi"/>
          <w:u w:val="single"/>
        </w:rPr>
      </w:pPr>
      <w:r w:rsidRPr="00C052EF">
        <w:rPr>
          <w:rFonts w:eastAsiaTheme="minorHAnsi"/>
          <w:u w:val="single"/>
        </w:rPr>
        <w:t>Náklady a rizika</w:t>
      </w:r>
    </w:p>
    <w:p w:rsidR="00AA5293" w:rsidRPr="00C052EF" w:rsidRDefault="00AA5293" w:rsidP="00C052EF">
      <w:pPr>
        <w:spacing w:before="120"/>
        <w:jc w:val="both"/>
      </w:pPr>
      <w:r w:rsidRPr="00C052EF">
        <w:t xml:space="preserve">Nevýhodou je možné odložení účinnosti novely zákona s ohledem na termín realizace funkčnosti </w:t>
      </w:r>
      <w:r w:rsidR="003E1B5B">
        <w:t xml:space="preserve">informačního systému vzdělávání </w:t>
      </w:r>
      <w:r w:rsidRPr="00C052EF">
        <w:t xml:space="preserve">včetně doby potřebné k proškolení jeho uživatelů. Časová prodleva tím oddaluje řešení současného stavu s rizikem </w:t>
      </w:r>
      <w:r w:rsidRPr="007406D5">
        <w:t>přetrvání problémů uvedených v bodě 3.1.</w:t>
      </w:r>
      <w:r w:rsidR="003E1B5B" w:rsidRPr="007406D5">
        <w:t>1</w:t>
      </w:r>
      <w:r w:rsidRPr="007406D5">
        <w:t xml:space="preserve"> a jejich prohloubení</w:t>
      </w:r>
      <w:r w:rsidR="007406D5" w:rsidRPr="007406D5">
        <w:t xml:space="preserve"> či </w:t>
      </w:r>
      <w:r w:rsidRPr="007406D5">
        <w:t xml:space="preserve">nárůst. </w:t>
      </w:r>
      <w:r w:rsidR="0044234C">
        <w:rPr>
          <w:color w:val="000000"/>
        </w:rPr>
        <w:t>Ministerstvo</w:t>
      </w:r>
      <w:r w:rsidRPr="00C052EF">
        <w:rPr>
          <w:color w:val="000000"/>
        </w:rPr>
        <w:t xml:space="preserve"> v souladu se zavedením </w:t>
      </w:r>
      <w:r w:rsidR="0044234C">
        <w:rPr>
          <w:color w:val="000000"/>
        </w:rPr>
        <w:t xml:space="preserve">a zřízením posuzující </w:t>
      </w:r>
      <w:r w:rsidRPr="00C052EF">
        <w:rPr>
          <w:color w:val="000000"/>
        </w:rPr>
        <w:t>právnické osoby</w:t>
      </w:r>
      <w:r w:rsidR="007406D5">
        <w:rPr>
          <w:color w:val="000000"/>
        </w:rPr>
        <w:t xml:space="preserve"> </w:t>
      </w:r>
      <w:r w:rsidRPr="00C052EF">
        <w:rPr>
          <w:color w:val="000000"/>
        </w:rPr>
        <w:t>předpokládá provozní roční náklady cca 900 </w:t>
      </w:r>
      <w:r w:rsidR="00C237FC" w:rsidRPr="00C052EF">
        <w:rPr>
          <w:color w:val="000000"/>
        </w:rPr>
        <w:t xml:space="preserve">tis. </w:t>
      </w:r>
      <w:r w:rsidRPr="00C052EF">
        <w:rPr>
          <w:color w:val="000000"/>
        </w:rPr>
        <w:t>Kč. Současně vzniknou jednorázové výdaje na materiální vybavení pracovišť ve</w:t>
      </w:r>
      <w:r w:rsidR="003E0AB8">
        <w:rPr>
          <w:color w:val="000000"/>
        </w:rPr>
        <w:t> </w:t>
      </w:r>
      <w:r w:rsidRPr="00C052EF">
        <w:rPr>
          <w:color w:val="000000"/>
        </w:rPr>
        <w:t>výši cca 1 mil</w:t>
      </w:r>
      <w:r w:rsidR="00C237FC" w:rsidRPr="00C052EF">
        <w:rPr>
          <w:color w:val="000000"/>
        </w:rPr>
        <w:t>.</w:t>
      </w:r>
      <w:r w:rsidRPr="00C052EF">
        <w:rPr>
          <w:color w:val="000000"/>
        </w:rPr>
        <w:t> Kč. Dále dojde k navýšení počtu odborných pracovníků v organizacích o 20 zaměstnanců (ve 13. platové třídě), což předpokládá dle kvalifikovaného odhadu částku 1</w:t>
      </w:r>
      <w:r w:rsidR="00D329A8">
        <w:rPr>
          <w:color w:val="000000"/>
        </w:rPr>
        <w:t>3,5</w:t>
      </w:r>
      <w:r w:rsidRPr="00C052EF">
        <w:rPr>
          <w:color w:val="000000"/>
        </w:rPr>
        <w:t xml:space="preserve"> mil</w:t>
      </w:r>
      <w:r w:rsidR="00C237FC" w:rsidRPr="00C052EF">
        <w:rPr>
          <w:color w:val="000000"/>
        </w:rPr>
        <w:t>.</w:t>
      </w:r>
      <w:r w:rsidRPr="00C052EF">
        <w:rPr>
          <w:color w:val="000000"/>
        </w:rPr>
        <w:t xml:space="preserve"> </w:t>
      </w:r>
      <w:r w:rsidR="000B1D6D">
        <w:rPr>
          <w:color w:val="000000"/>
        </w:rPr>
        <w:t xml:space="preserve">ročně. Na jedno pracoviště je počítáno s 0,5 úvazku administrativního pracovníka (v 10. platové třídě), </w:t>
      </w:r>
      <w:r w:rsidR="000B1D6D">
        <w:rPr>
          <w:color w:val="000000"/>
        </w:rPr>
        <w:lastRenderedPageBreak/>
        <w:t>což předpokládá finanční náklady cca 2 200 000 Kč ročně</w:t>
      </w:r>
      <w:r w:rsidRPr="00C052EF">
        <w:rPr>
          <w:color w:val="000000"/>
        </w:rPr>
        <w:t>. Další náklady jsou spojeny se vznikem a zavedením informačního systému vzdělávání.</w:t>
      </w:r>
    </w:p>
    <w:p w:rsidR="00AA5293" w:rsidRPr="00C052EF" w:rsidRDefault="00AA5293" w:rsidP="00C052EF">
      <w:pPr>
        <w:spacing w:before="120"/>
        <w:jc w:val="both"/>
        <w:rPr>
          <w:rFonts w:eastAsiaTheme="minorHAnsi"/>
          <w:u w:val="single"/>
        </w:rPr>
      </w:pPr>
      <w:r w:rsidRPr="00C052EF">
        <w:rPr>
          <w:rFonts w:eastAsiaTheme="minorHAnsi"/>
          <w:u w:val="single"/>
        </w:rPr>
        <w:t>Přínosy</w:t>
      </w:r>
    </w:p>
    <w:p w:rsidR="00AA5293" w:rsidRPr="00C052EF" w:rsidRDefault="00AA5293" w:rsidP="00C052EF">
      <w:pPr>
        <w:spacing w:before="120"/>
        <w:jc w:val="both"/>
        <w:rPr>
          <w:rFonts w:eastAsiaTheme="minorHAnsi"/>
        </w:rPr>
      </w:pPr>
      <w:r w:rsidRPr="00C052EF">
        <w:rPr>
          <w:rFonts w:eastAsiaTheme="minorHAnsi"/>
        </w:rPr>
        <w:t xml:space="preserve">Budou zajištěny rovné podmínky </w:t>
      </w:r>
      <w:r w:rsidR="007406D5">
        <w:rPr>
          <w:rFonts w:eastAsiaTheme="minorHAnsi"/>
        </w:rPr>
        <w:t xml:space="preserve">pro všechny žáky </w:t>
      </w:r>
      <w:r w:rsidRPr="00C052EF">
        <w:rPr>
          <w:rFonts w:eastAsiaTheme="minorHAnsi"/>
        </w:rPr>
        <w:t xml:space="preserve">při </w:t>
      </w:r>
      <w:r w:rsidR="007406D5">
        <w:rPr>
          <w:rFonts w:eastAsiaTheme="minorHAnsi"/>
        </w:rPr>
        <w:t xml:space="preserve">diagnostice a </w:t>
      </w:r>
      <w:r w:rsidRPr="00C052EF">
        <w:rPr>
          <w:rFonts w:eastAsiaTheme="minorHAnsi"/>
        </w:rPr>
        <w:t>doporučování všech PO a</w:t>
      </w:r>
      <w:r w:rsidR="00741828">
        <w:rPr>
          <w:rFonts w:eastAsiaTheme="minorHAnsi"/>
        </w:rPr>
        <w:t> </w:t>
      </w:r>
      <w:r w:rsidRPr="00C052EF">
        <w:rPr>
          <w:rFonts w:eastAsiaTheme="minorHAnsi"/>
        </w:rPr>
        <w:t xml:space="preserve">spolu s využitím informačního systému vzdělávání dojde ke kontrole a řízení přidělování finančních prostředků státního rozpočtu na PO v rámci celého systému inkluzívního vzdělávání. Úprava povede </w:t>
      </w:r>
      <w:r w:rsidR="00DB061B" w:rsidRPr="00C052EF">
        <w:rPr>
          <w:rFonts w:eastAsiaTheme="minorHAnsi"/>
        </w:rPr>
        <w:t xml:space="preserve">rovněž </w:t>
      </w:r>
      <w:r w:rsidRPr="00C052EF">
        <w:rPr>
          <w:rFonts w:eastAsiaTheme="minorHAnsi"/>
        </w:rPr>
        <w:t>ke snížení administrativní zátěže na</w:t>
      </w:r>
      <w:r w:rsidR="007406D5">
        <w:rPr>
          <w:rFonts w:eastAsiaTheme="minorHAnsi"/>
        </w:rPr>
        <w:t> </w:t>
      </w:r>
      <w:r w:rsidRPr="00C052EF">
        <w:rPr>
          <w:rFonts w:eastAsiaTheme="minorHAnsi"/>
        </w:rPr>
        <w:t>straně škol a ŠPZ</w:t>
      </w:r>
      <w:r w:rsidR="003E1B5B">
        <w:rPr>
          <w:rFonts w:eastAsiaTheme="minorHAnsi"/>
        </w:rPr>
        <w:t>.</w:t>
      </w:r>
    </w:p>
    <w:p w:rsidR="00C242FA" w:rsidRPr="00C052EF" w:rsidRDefault="00C242FA" w:rsidP="00C052EF">
      <w:pPr>
        <w:spacing w:before="120"/>
        <w:jc w:val="both"/>
        <w:rPr>
          <w:rFonts w:eastAsiaTheme="minorHAnsi"/>
          <w:u w:val="single"/>
        </w:rPr>
      </w:pPr>
      <w:r w:rsidRPr="00C052EF">
        <w:rPr>
          <w:rFonts w:eastAsiaTheme="minorHAnsi"/>
          <w:u w:val="single"/>
        </w:rPr>
        <w:t xml:space="preserve">3.1.3 </w:t>
      </w:r>
      <w:r w:rsidR="001368DA" w:rsidRPr="00C052EF">
        <w:rPr>
          <w:rFonts w:eastAsiaTheme="minorHAnsi"/>
          <w:u w:val="single"/>
        </w:rPr>
        <w:t xml:space="preserve">Identifikace nákladů a přínosů </w:t>
      </w:r>
      <w:r w:rsidR="00C237FC" w:rsidRPr="00C052EF">
        <w:rPr>
          <w:rFonts w:eastAsiaTheme="minorHAnsi"/>
          <w:u w:val="single"/>
        </w:rPr>
        <w:t xml:space="preserve">varianty </w:t>
      </w:r>
      <w:r w:rsidRPr="00C052EF">
        <w:rPr>
          <w:rFonts w:eastAsiaTheme="minorHAnsi"/>
          <w:u w:val="single"/>
        </w:rPr>
        <w:t>2</w:t>
      </w:r>
    </w:p>
    <w:p w:rsidR="00C242FA" w:rsidRPr="00C052EF" w:rsidRDefault="00C242FA" w:rsidP="00C052EF">
      <w:pPr>
        <w:spacing w:before="120"/>
        <w:jc w:val="both"/>
        <w:rPr>
          <w:rFonts w:eastAsiaTheme="minorHAnsi"/>
          <w:u w:val="single"/>
        </w:rPr>
      </w:pPr>
      <w:r w:rsidRPr="00C052EF">
        <w:rPr>
          <w:rFonts w:eastAsiaTheme="minorHAnsi"/>
          <w:u w:val="single"/>
        </w:rPr>
        <w:t>Náklady a rizika</w:t>
      </w:r>
    </w:p>
    <w:p w:rsidR="007D63A5" w:rsidRDefault="00C242FA" w:rsidP="00C052EF">
      <w:pPr>
        <w:spacing w:before="120"/>
        <w:jc w:val="both"/>
      </w:pPr>
      <w:r w:rsidRPr="00C052EF">
        <w:t>Nevýhodou je</w:t>
      </w:r>
      <w:r w:rsidR="007D63A5">
        <w:t>, že první etapa reali</w:t>
      </w:r>
      <w:r w:rsidR="00ED2B5F">
        <w:t>z</w:t>
      </w:r>
      <w:r w:rsidR="007D63A5">
        <w:t>ace pokryje pouze některé okruhy doporučení, v této fázi nedojde ke snížení administrativní zátěže na straně ŠPZ spojené s vydáváním doporučení.</w:t>
      </w:r>
    </w:p>
    <w:p w:rsidR="00C242FA" w:rsidRPr="00C052EF" w:rsidRDefault="00C242FA" w:rsidP="00C052EF">
      <w:pPr>
        <w:spacing w:before="120"/>
        <w:jc w:val="both"/>
        <w:rPr>
          <w:rFonts w:eastAsiaTheme="minorHAnsi"/>
          <w:u w:val="single"/>
        </w:rPr>
      </w:pPr>
      <w:r w:rsidRPr="00C052EF">
        <w:rPr>
          <w:rFonts w:eastAsiaTheme="minorHAnsi"/>
          <w:u w:val="single"/>
        </w:rPr>
        <w:t>Přínosy</w:t>
      </w:r>
    </w:p>
    <w:p w:rsidR="00F34DE7" w:rsidRDefault="00C242FA" w:rsidP="00C052EF">
      <w:pPr>
        <w:spacing w:before="120"/>
        <w:jc w:val="both"/>
        <w:rPr>
          <w:rFonts w:eastAsiaTheme="minorHAnsi"/>
        </w:rPr>
      </w:pPr>
      <w:r w:rsidRPr="00C052EF">
        <w:rPr>
          <w:rFonts w:eastAsiaTheme="minorHAnsi"/>
        </w:rPr>
        <w:t xml:space="preserve">Budou aktuálně řešeny hlavní disparity systému doporučování PO tak, že na základě statistických údajů bude </w:t>
      </w:r>
      <w:r w:rsidR="0044234C">
        <w:rPr>
          <w:rFonts w:eastAsiaTheme="minorHAnsi"/>
        </w:rPr>
        <w:t>ministerstvo</w:t>
      </w:r>
      <w:r w:rsidRPr="00C052EF">
        <w:rPr>
          <w:rFonts w:eastAsiaTheme="minorHAnsi"/>
        </w:rPr>
        <w:t xml:space="preserve"> provádět kontrolu vybran</w:t>
      </w:r>
      <w:r w:rsidR="00F34DE7">
        <w:rPr>
          <w:rFonts w:eastAsiaTheme="minorHAnsi"/>
        </w:rPr>
        <w:t>ého okruhu</w:t>
      </w:r>
      <w:r w:rsidRPr="00C052EF">
        <w:rPr>
          <w:rFonts w:eastAsiaTheme="minorHAnsi"/>
        </w:rPr>
        <w:t xml:space="preserve"> doporučení a</w:t>
      </w:r>
      <w:r w:rsidR="00F34DE7">
        <w:rPr>
          <w:rFonts w:eastAsiaTheme="minorHAnsi"/>
        </w:rPr>
        <w:t> </w:t>
      </w:r>
      <w:r w:rsidRPr="00C052EF">
        <w:rPr>
          <w:rFonts w:eastAsiaTheme="minorHAnsi"/>
        </w:rPr>
        <w:t>zajiš</w:t>
      </w:r>
      <w:r w:rsidR="00ED2B5F">
        <w:rPr>
          <w:rFonts w:eastAsiaTheme="minorHAnsi"/>
        </w:rPr>
        <w:t xml:space="preserve">ťovat </w:t>
      </w:r>
      <w:r w:rsidRPr="00C052EF">
        <w:rPr>
          <w:rFonts w:eastAsiaTheme="minorHAnsi"/>
        </w:rPr>
        <w:t>rovn</w:t>
      </w:r>
      <w:r w:rsidR="00ED2B5F">
        <w:rPr>
          <w:rFonts w:eastAsiaTheme="minorHAnsi"/>
        </w:rPr>
        <w:t>é</w:t>
      </w:r>
      <w:r w:rsidRPr="00C052EF">
        <w:rPr>
          <w:rFonts w:eastAsiaTheme="minorHAnsi"/>
        </w:rPr>
        <w:t xml:space="preserve"> podmín</w:t>
      </w:r>
      <w:r w:rsidR="00ED2B5F">
        <w:rPr>
          <w:rFonts w:eastAsiaTheme="minorHAnsi"/>
        </w:rPr>
        <w:t>ky</w:t>
      </w:r>
      <w:r w:rsidRPr="00C052EF">
        <w:rPr>
          <w:rFonts w:eastAsiaTheme="minorHAnsi"/>
        </w:rPr>
        <w:t xml:space="preserve"> žáků se </w:t>
      </w:r>
      <w:r w:rsidR="00C237FC" w:rsidRPr="00C052EF">
        <w:rPr>
          <w:rFonts w:eastAsiaTheme="minorHAnsi"/>
        </w:rPr>
        <w:t>SV</w:t>
      </w:r>
      <w:r w:rsidR="00ED2B5F">
        <w:rPr>
          <w:rFonts w:eastAsiaTheme="minorHAnsi"/>
        </w:rPr>
        <w:t>P</w:t>
      </w:r>
      <w:r w:rsidRPr="00C052EF">
        <w:rPr>
          <w:rFonts w:eastAsiaTheme="minorHAnsi"/>
        </w:rPr>
        <w:t xml:space="preserve"> vzhledem k individuálním potřebám jednotlivce a podmín</w:t>
      </w:r>
      <w:r w:rsidR="00F34DE7">
        <w:rPr>
          <w:rFonts w:eastAsiaTheme="minorHAnsi"/>
        </w:rPr>
        <w:t>kám</w:t>
      </w:r>
      <w:r w:rsidRPr="00C052EF">
        <w:rPr>
          <w:rFonts w:eastAsiaTheme="minorHAnsi"/>
        </w:rPr>
        <w:t xml:space="preserve"> konkrétní školy/třídy, ve</w:t>
      </w:r>
      <w:r w:rsidR="007E4906">
        <w:rPr>
          <w:rFonts w:eastAsiaTheme="minorHAnsi"/>
        </w:rPr>
        <w:t> </w:t>
      </w:r>
      <w:r w:rsidRPr="00C052EF">
        <w:rPr>
          <w:rFonts w:eastAsiaTheme="minorHAnsi"/>
        </w:rPr>
        <w:t>které je žák vzděláván.</w:t>
      </w:r>
      <w:r w:rsidR="009A4FAC" w:rsidRPr="00C052EF">
        <w:rPr>
          <w:rFonts w:eastAsiaTheme="minorHAnsi"/>
        </w:rPr>
        <w:t xml:space="preserve"> Neméně důležitým přínosem bud</w:t>
      </w:r>
      <w:r w:rsidR="008108F9" w:rsidRPr="00C052EF">
        <w:rPr>
          <w:rFonts w:eastAsiaTheme="minorHAnsi"/>
        </w:rPr>
        <w:t>e sjednocení diagnostických postupů</w:t>
      </w:r>
      <w:r w:rsidR="007D63A5">
        <w:rPr>
          <w:rFonts w:eastAsiaTheme="minorHAnsi"/>
        </w:rPr>
        <w:t xml:space="preserve"> a okruhu používaných diagnostických nástrojů </w:t>
      </w:r>
      <w:r w:rsidR="008108F9" w:rsidRPr="00C052EF">
        <w:rPr>
          <w:rFonts w:eastAsiaTheme="minorHAnsi"/>
        </w:rPr>
        <w:t>při</w:t>
      </w:r>
      <w:r w:rsidR="00376924">
        <w:rPr>
          <w:rFonts w:eastAsiaTheme="minorHAnsi"/>
        </w:rPr>
        <w:t> </w:t>
      </w:r>
      <w:r w:rsidR="008108F9" w:rsidRPr="00C052EF">
        <w:rPr>
          <w:rFonts w:eastAsiaTheme="minorHAnsi"/>
        </w:rPr>
        <w:t>stanovení druhu zdravotního znevýhodnění a nastavení stupně PO ve vzdělávání.</w:t>
      </w:r>
    </w:p>
    <w:p w:rsidR="009906D9" w:rsidRPr="00C052EF" w:rsidRDefault="00847C79" w:rsidP="00C052EF">
      <w:pPr>
        <w:spacing w:before="120"/>
        <w:jc w:val="both"/>
        <w:rPr>
          <w:u w:val="single"/>
        </w:rPr>
      </w:pPr>
      <w:r w:rsidRPr="00C052EF">
        <w:rPr>
          <w:u w:val="single"/>
        </w:rPr>
        <w:t>3.</w:t>
      </w:r>
      <w:r w:rsidR="003724EF" w:rsidRPr="00C052EF">
        <w:rPr>
          <w:u w:val="single"/>
        </w:rPr>
        <w:t>2</w:t>
      </w:r>
      <w:r w:rsidR="00B77766" w:rsidRPr="00C052EF">
        <w:rPr>
          <w:u w:val="single"/>
        </w:rPr>
        <w:t xml:space="preserve"> </w:t>
      </w:r>
      <w:r w:rsidRPr="00C052EF">
        <w:rPr>
          <w:u w:val="single"/>
        </w:rPr>
        <w:t>Vyhodnocení nákladů a přínosů jednotlivých variant</w:t>
      </w:r>
    </w:p>
    <w:p w:rsidR="009906D9" w:rsidRPr="00C052EF" w:rsidRDefault="009906D9" w:rsidP="00C052EF">
      <w:pPr>
        <w:spacing w:before="120"/>
        <w:jc w:val="both"/>
        <w:rPr>
          <w:color w:val="000000"/>
        </w:rPr>
      </w:pPr>
      <w:r w:rsidRPr="00C052EF">
        <w:rPr>
          <w:color w:val="000000"/>
        </w:rPr>
        <w:t xml:space="preserve">Varianta 0 znamená, že bude přetrvávat nežádoucí stav ve smyslu nekontrolovaného rozdělování finančních prostředků státního rozpočtu ze strany ŠPZ. </w:t>
      </w:r>
    </w:p>
    <w:p w:rsidR="009906D9" w:rsidRPr="00C052EF" w:rsidRDefault="009906D9" w:rsidP="00C052EF">
      <w:pPr>
        <w:spacing w:before="120"/>
        <w:jc w:val="both"/>
        <w:rPr>
          <w:color w:val="000000"/>
        </w:rPr>
      </w:pPr>
      <w:r w:rsidRPr="00C052EF">
        <w:rPr>
          <w:color w:val="000000"/>
        </w:rPr>
        <w:t xml:space="preserve">Varianta 1 znamená žádoucí stav spolu se zavedením informačního systému vzdělávání. Nový systém také umožní snížení administrativní zátěže škol a ŠPZ. </w:t>
      </w:r>
    </w:p>
    <w:p w:rsidR="009906D9" w:rsidRPr="00C052EF" w:rsidRDefault="009906D9" w:rsidP="00C052EF">
      <w:pPr>
        <w:spacing w:before="120"/>
        <w:jc w:val="both"/>
        <w:rPr>
          <w:color w:val="000000"/>
        </w:rPr>
      </w:pPr>
      <w:r w:rsidRPr="00C052EF">
        <w:rPr>
          <w:color w:val="000000"/>
        </w:rPr>
        <w:t>Varianta 2 znamená nastolení žádoucího stavu ve dvou etapách, kdy v první fázi budou řešeny výběrově největší disproporce systému. Následně, spolu se zavedením jednotného informačního systému, bude zajištěna komplexní systémová kontrola naplňování hlavních cílů inkluzívního vzdělávání prostřednictvím PO v souladu s legislativními předpisy</w:t>
      </w:r>
      <w:r w:rsidR="00E553CD">
        <w:rPr>
          <w:color w:val="000000"/>
        </w:rPr>
        <w:t xml:space="preserve"> a nastavenými kritérii v oblasti diagnostických nástrojů</w:t>
      </w:r>
      <w:r w:rsidR="00633D5A">
        <w:rPr>
          <w:color w:val="000000"/>
        </w:rPr>
        <w:t xml:space="preserve"> a intervenčních postupů.</w:t>
      </w:r>
    </w:p>
    <w:p w:rsidR="009906D9" w:rsidRPr="00C052EF" w:rsidRDefault="009906D9" w:rsidP="00C052EF">
      <w:pPr>
        <w:spacing w:before="120"/>
        <w:jc w:val="both"/>
        <w:rPr>
          <w:u w:val="single"/>
        </w:rPr>
      </w:pPr>
      <w:r w:rsidRPr="00C052EF">
        <w:rPr>
          <w:u w:val="single"/>
        </w:rPr>
        <w:t>3.</w:t>
      </w:r>
      <w:r w:rsidR="003724EF" w:rsidRPr="00C052EF">
        <w:rPr>
          <w:u w:val="single"/>
        </w:rPr>
        <w:t>3</w:t>
      </w:r>
      <w:r w:rsidRPr="00C052EF">
        <w:rPr>
          <w:u w:val="single"/>
        </w:rPr>
        <w:t xml:space="preserve"> Stanovení pořadí variant</w:t>
      </w:r>
    </w:p>
    <w:p w:rsidR="009906D9" w:rsidRPr="00C052EF" w:rsidRDefault="009906D9" w:rsidP="00C052EF">
      <w:pPr>
        <w:spacing w:before="120"/>
        <w:jc w:val="both"/>
        <w:rPr>
          <w:color w:val="000000"/>
        </w:rPr>
      </w:pPr>
      <w:r w:rsidRPr="00C052EF">
        <w:rPr>
          <w:color w:val="000000"/>
        </w:rPr>
        <w:t>Všechny zainteresované subjekty preferují variantu 2. Důvodem je aktuální potřeba sjednocení obsahu vydávaných doporučení PO s </w:t>
      </w:r>
      <w:r w:rsidR="00C237FC" w:rsidRPr="00C052EF">
        <w:rPr>
          <w:color w:val="000000"/>
        </w:rPr>
        <w:t>NFN</w:t>
      </w:r>
      <w:r w:rsidRPr="00C052EF">
        <w:rPr>
          <w:color w:val="000000"/>
        </w:rPr>
        <w:t xml:space="preserve"> se souhlasem ze strany </w:t>
      </w:r>
      <w:r w:rsidR="0044234C">
        <w:rPr>
          <w:color w:val="000000"/>
        </w:rPr>
        <w:t>ministerstva</w:t>
      </w:r>
      <w:r w:rsidRPr="00C052EF">
        <w:rPr>
          <w:color w:val="000000"/>
        </w:rPr>
        <w:t xml:space="preserve"> a průběžné řešení významných disparit, zatím i bez ohledu na termín zavedení jednotného elektronického systému. Při rozdělení krajských příslušností k jednotlivým právnickým osobám, které budou vykonávat posuzující činnost, budou využity konstantnější hodnoty proměnné, tj. počty potenc</w:t>
      </w:r>
      <w:r w:rsidR="0044234C">
        <w:rPr>
          <w:color w:val="000000"/>
        </w:rPr>
        <w:t>i</w:t>
      </w:r>
      <w:r w:rsidRPr="00C052EF">
        <w:rPr>
          <w:color w:val="000000"/>
        </w:rPr>
        <w:t xml:space="preserve">álních klientů daného území. </w:t>
      </w:r>
    </w:p>
    <w:p w:rsidR="00542A63" w:rsidRPr="00C052EF" w:rsidRDefault="00542A63" w:rsidP="00C052EF">
      <w:pPr>
        <w:spacing w:before="120"/>
        <w:jc w:val="both"/>
        <w:rPr>
          <w:color w:val="000000"/>
        </w:rPr>
      </w:pPr>
      <w:r w:rsidRPr="00C052EF">
        <w:rPr>
          <w:color w:val="000000"/>
        </w:rPr>
        <w:t xml:space="preserve">Přijetím navrhované úpravy ve variantě 2 dojde ke kontrole finančního dopadu implementace inkluzívního vzdělávání v oblasti PO ke zvýšení podpory kvality poskytování školských poradenských služeb a sjednocení </w:t>
      </w:r>
      <w:r w:rsidR="00DB061B" w:rsidRPr="00C052EF">
        <w:rPr>
          <w:color w:val="000000"/>
        </w:rPr>
        <w:t>diagnostických procesů</w:t>
      </w:r>
      <w:r w:rsidR="008108F9" w:rsidRPr="00C052EF">
        <w:rPr>
          <w:color w:val="000000"/>
        </w:rPr>
        <w:t>, využívání diagnostických nástrojů</w:t>
      </w:r>
      <w:r w:rsidR="00DB061B" w:rsidRPr="00C052EF">
        <w:rPr>
          <w:color w:val="000000"/>
        </w:rPr>
        <w:t xml:space="preserve"> i</w:t>
      </w:r>
      <w:r w:rsidR="00741828">
        <w:rPr>
          <w:color w:val="000000"/>
        </w:rPr>
        <w:t> </w:t>
      </w:r>
      <w:r w:rsidR="00DB061B" w:rsidRPr="00C052EF">
        <w:rPr>
          <w:color w:val="000000"/>
        </w:rPr>
        <w:t xml:space="preserve">podmínek </w:t>
      </w:r>
      <w:r w:rsidRPr="00C052EF">
        <w:rPr>
          <w:color w:val="000000"/>
        </w:rPr>
        <w:t>vzdělávání žáků se SVP v celorepublikovém měřítku</w:t>
      </w:r>
      <w:r w:rsidR="009A4FAC" w:rsidRPr="00C052EF">
        <w:rPr>
          <w:color w:val="000000"/>
        </w:rPr>
        <w:t xml:space="preserve">. </w:t>
      </w:r>
      <w:r w:rsidR="00F45ABF">
        <w:rPr>
          <w:color w:val="000000"/>
        </w:rPr>
        <w:t>Neméně významným přínosem novely je snížení administrativní zátěže na straně škol a zajištění odborných služeb a</w:t>
      </w:r>
      <w:r w:rsidR="00741828">
        <w:rPr>
          <w:color w:val="000000"/>
        </w:rPr>
        <w:t> </w:t>
      </w:r>
      <w:r w:rsidR="00F45ABF">
        <w:rPr>
          <w:color w:val="000000"/>
        </w:rPr>
        <w:t>podmínek vzdělávání žáků v jejich nejlepším zájmu i ve spolupráci s o</w:t>
      </w:r>
      <w:r w:rsidR="0044234C">
        <w:rPr>
          <w:color w:val="000000"/>
        </w:rPr>
        <w:t>rgány</w:t>
      </w:r>
      <w:r w:rsidR="00F45ABF">
        <w:rPr>
          <w:color w:val="000000"/>
        </w:rPr>
        <w:t xml:space="preserve"> sociálně</w:t>
      </w:r>
      <w:r w:rsidR="0044234C">
        <w:rPr>
          <w:color w:val="000000"/>
        </w:rPr>
        <w:t>-</w:t>
      </w:r>
      <w:r w:rsidR="00F45ABF">
        <w:rPr>
          <w:color w:val="000000"/>
        </w:rPr>
        <w:t>právní ochrany dětí.</w:t>
      </w:r>
    </w:p>
    <w:p w:rsidR="00633D5A" w:rsidRDefault="009906D9" w:rsidP="00C052EF">
      <w:pPr>
        <w:spacing w:before="120"/>
        <w:jc w:val="both"/>
        <w:rPr>
          <w:color w:val="000000"/>
        </w:rPr>
      </w:pPr>
      <w:r w:rsidRPr="00C052EF">
        <w:rPr>
          <w:color w:val="000000"/>
        </w:rPr>
        <w:t xml:space="preserve">Varianta, která vede k dosažení cílů výše definovaných, je varianta 2. </w:t>
      </w:r>
    </w:p>
    <w:p w:rsidR="00633D5A" w:rsidRDefault="00633D5A">
      <w:pPr>
        <w:rPr>
          <w:color w:val="000000"/>
        </w:rPr>
      </w:pPr>
      <w:r>
        <w:rPr>
          <w:color w:val="000000"/>
        </w:rPr>
        <w:br w:type="page"/>
      </w:r>
    </w:p>
    <w:p w:rsidR="004662DC" w:rsidRPr="004133BB" w:rsidRDefault="004133BB" w:rsidP="004133BB">
      <w:pPr>
        <w:spacing w:before="120"/>
        <w:jc w:val="both"/>
        <w:rPr>
          <w:u w:val="single"/>
        </w:rPr>
      </w:pPr>
      <w:r w:rsidRPr="004133BB">
        <w:rPr>
          <w:u w:val="single"/>
        </w:rPr>
        <w:lastRenderedPageBreak/>
        <w:t xml:space="preserve">3.4 </w:t>
      </w:r>
      <w:r w:rsidR="004662DC" w:rsidRPr="004133BB">
        <w:rPr>
          <w:u w:val="single"/>
        </w:rPr>
        <w:t>Zhodnocení dopadů na státní rozpočet a ostatní veřejné rozpočty</w:t>
      </w:r>
    </w:p>
    <w:p w:rsidR="004133BB" w:rsidRDefault="004133BB" w:rsidP="004133BB">
      <w:pPr>
        <w:spacing w:before="120"/>
        <w:jc w:val="both"/>
      </w:pPr>
      <w:r w:rsidRPr="00A37ECA">
        <w:t>Všechny dopady na státní rozpočet budou zabezpečeny v rámci schválených rozpočtů kapitoly resortu školství.</w:t>
      </w:r>
    </w:p>
    <w:p w:rsidR="00205D72" w:rsidRPr="00205D72" w:rsidRDefault="00205D72" w:rsidP="004133BB">
      <w:pPr>
        <w:spacing w:before="120"/>
        <w:jc w:val="both"/>
      </w:pPr>
      <w:r w:rsidRPr="00FF5130">
        <w:rPr>
          <w:color w:val="000000"/>
        </w:rPr>
        <w:t>Dle údajů k 1. 11. 2019 se předpokládají neinvestiční výdaje na jeden úvazek asistenta pedagoga na rok 2020 celkem 406 030,61 Kč. Pokud by došlo k racionalizaci počtu doporučení ke zřízení funkce asistenta pedagoga, snížily by se roční náklady na toto podpůrné opatření o cca 1 139 524 907 Kč. Protože počet úvazků AP ve školách/třídách zřízených podle §16 odst. 9 školského zákona je cca 18,3 z celkového počtu, odhad snížení ročních nákladů na PO AP v běžných školách/třídách je 930 991 849 Kč (viz příloha).</w:t>
      </w:r>
    </w:p>
    <w:p w:rsidR="004662DC" w:rsidRPr="004133BB" w:rsidRDefault="004133BB" w:rsidP="004133BB">
      <w:pPr>
        <w:spacing w:before="120"/>
        <w:jc w:val="both"/>
        <w:rPr>
          <w:u w:val="single"/>
        </w:rPr>
      </w:pPr>
      <w:r w:rsidRPr="004133BB">
        <w:rPr>
          <w:u w:val="single"/>
        </w:rPr>
        <w:t xml:space="preserve">3.5 </w:t>
      </w:r>
      <w:r w:rsidR="004662DC" w:rsidRPr="004133BB">
        <w:rPr>
          <w:u w:val="single"/>
        </w:rPr>
        <w:t xml:space="preserve">Zhodnocení dopadů na mezinárodní konkurenceschopnost České republiky </w:t>
      </w:r>
    </w:p>
    <w:p w:rsidR="00205D72" w:rsidRDefault="004662DC" w:rsidP="004133BB">
      <w:pPr>
        <w:spacing w:before="120"/>
        <w:jc w:val="both"/>
      </w:pPr>
      <w:r w:rsidRPr="004133BB">
        <w:t xml:space="preserve">Navrhovaná právní úprava nemá žádné dopady na mezinárodní konkurenceschopnost České republiky. </w:t>
      </w:r>
    </w:p>
    <w:p w:rsidR="004662DC" w:rsidRPr="004133BB" w:rsidRDefault="004133BB" w:rsidP="004133BB">
      <w:pPr>
        <w:spacing w:before="120"/>
        <w:jc w:val="both"/>
        <w:rPr>
          <w:u w:val="single"/>
        </w:rPr>
      </w:pPr>
      <w:r>
        <w:rPr>
          <w:u w:val="single"/>
        </w:rPr>
        <w:t xml:space="preserve">3.6 </w:t>
      </w:r>
      <w:r w:rsidR="004662DC" w:rsidRPr="004133BB">
        <w:rPr>
          <w:u w:val="single"/>
        </w:rPr>
        <w:t>Zhodnocení sociálních dopadů, včetně dopadů na rodiny a dopadů na specifické skupiny obyvatel, zejména osoby sociálně slabé, osoby se zdravotním postižením a národnostní menšiny</w:t>
      </w:r>
    </w:p>
    <w:p w:rsidR="00454E0D" w:rsidRDefault="004133BB" w:rsidP="004133BB">
      <w:pPr>
        <w:spacing w:before="120"/>
        <w:jc w:val="both"/>
      </w:pPr>
      <w:r w:rsidRPr="00112FD2">
        <w:t xml:space="preserve">Změny řízení </w:t>
      </w:r>
      <w:r w:rsidR="00F34DE7">
        <w:t xml:space="preserve">ŠPZ </w:t>
      </w:r>
      <w:r w:rsidRPr="00112FD2">
        <w:t>budou mít pozitivní sociální dopad na rodiny s dětmi se</w:t>
      </w:r>
      <w:r w:rsidR="00F34DE7">
        <w:t xml:space="preserve"> SVP</w:t>
      </w:r>
      <w:r w:rsidRPr="00112FD2">
        <w:t>. V rámci narovnání mezikrajových rozdílů dojde k jistotě v zajištění rovných podmínek při</w:t>
      </w:r>
      <w:r w:rsidR="00F34DE7">
        <w:t> </w:t>
      </w:r>
      <w:r w:rsidRPr="00112FD2">
        <w:t xml:space="preserve">doporučování podpůrných opatření v systému </w:t>
      </w:r>
      <w:r w:rsidR="00F34DE7">
        <w:t>ŠPZ</w:t>
      </w:r>
    </w:p>
    <w:p w:rsidR="007D63A5" w:rsidRDefault="00E553CD" w:rsidP="000B1D6D">
      <w:pPr>
        <w:spacing w:before="120"/>
        <w:jc w:val="both"/>
      </w:pPr>
      <w:r>
        <w:t>Současně budou školské poradenské služby poskytovány v souladu s nejlepším zájmem žáka a</w:t>
      </w:r>
      <w:r w:rsidR="00741828">
        <w:t> </w:t>
      </w:r>
      <w:r>
        <w:t>legislativn</w:t>
      </w:r>
      <w:r w:rsidR="007D63A5">
        <w:t>ě</w:t>
      </w:r>
      <w:r>
        <w:t xml:space="preserve"> bude ukotvena povinnost vzájemného předávání informací mezi školami a o</w:t>
      </w:r>
      <w:r w:rsidR="0044234C">
        <w:t>rgány</w:t>
      </w:r>
      <w:r>
        <w:t xml:space="preserve"> sociálně</w:t>
      </w:r>
      <w:r w:rsidR="0044234C">
        <w:t>-</w:t>
      </w:r>
      <w:r>
        <w:t>právní ochrany dětí z důvodu zajištění optimálních podmínek vzdělávání s ohledem na SVP žáků v kontextu rodinné péče.</w:t>
      </w:r>
    </w:p>
    <w:p w:rsidR="004662DC" w:rsidRPr="004133BB" w:rsidRDefault="004133BB" w:rsidP="004133BB">
      <w:pPr>
        <w:spacing w:before="120"/>
        <w:jc w:val="both"/>
        <w:rPr>
          <w:u w:val="single"/>
        </w:rPr>
      </w:pPr>
      <w:r w:rsidRPr="004133BB">
        <w:rPr>
          <w:u w:val="single"/>
        </w:rPr>
        <w:t xml:space="preserve">3.7 </w:t>
      </w:r>
      <w:r w:rsidR="004662DC" w:rsidRPr="004133BB">
        <w:rPr>
          <w:u w:val="single"/>
        </w:rPr>
        <w:t>Zhodnocení dopadů na spotřebitele</w:t>
      </w:r>
    </w:p>
    <w:p w:rsidR="004662DC" w:rsidRPr="004133BB" w:rsidRDefault="004662DC" w:rsidP="004133BB">
      <w:pPr>
        <w:spacing w:before="120"/>
        <w:jc w:val="both"/>
      </w:pPr>
      <w:r w:rsidRPr="004133BB">
        <w:t>Navrhovaná právní úprava nemá žádné dopady na spotřebitele.</w:t>
      </w:r>
    </w:p>
    <w:p w:rsidR="004662DC" w:rsidRPr="004133BB" w:rsidRDefault="004133BB" w:rsidP="004133BB">
      <w:pPr>
        <w:spacing w:before="120"/>
        <w:jc w:val="both"/>
        <w:rPr>
          <w:u w:val="single"/>
        </w:rPr>
      </w:pPr>
      <w:r w:rsidRPr="004133BB">
        <w:rPr>
          <w:u w:val="single"/>
        </w:rPr>
        <w:t xml:space="preserve">3.8 </w:t>
      </w:r>
      <w:r w:rsidR="004662DC" w:rsidRPr="004133BB">
        <w:rPr>
          <w:u w:val="single"/>
        </w:rPr>
        <w:t xml:space="preserve">Zhodnocení dopadů na životní prostředí </w:t>
      </w:r>
    </w:p>
    <w:p w:rsidR="004662DC" w:rsidRPr="004133BB" w:rsidRDefault="004662DC" w:rsidP="004133BB">
      <w:pPr>
        <w:spacing w:before="120"/>
        <w:jc w:val="both"/>
      </w:pPr>
      <w:r w:rsidRPr="004133BB">
        <w:t xml:space="preserve">Navrhovaná právní úprava nemá žádné dopady ve vztahu k životnímu prostředí. </w:t>
      </w:r>
    </w:p>
    <w:p w:rsidR="004662DC" w:rsidRPr="004133BB" w:rsidRDefault="004133BB" w:rsidP="004133BB">
      <w:pPr>
        <w:spacing w:before="120"/>
        <w:jc w:val="both"/>
        <w:rPr>
          <w:u w:val="single"/>
        </w:rPr>
      </w:pPr>
      <w:r>
        <w:rPr>
          <w:u w:val="single"/>
        </w:rPr>
        <w:t xml:space="preserve">3.9 </w:t>
      </w:r>
      <w:r w:rsidR="004662DC" w:rsidRPr="004133BB">
        <w:rPr>
          <w:u w:val="single"/>
        </w:rPr>
        <w:t xml:space="preserve">Zhodnocení navrhovaného řešení ve vztahu k zákazu diskriminace a ve vztahu k rovnosti mužů a žen </w:t>
      </w:r>
    </w:p>
    <w:p w:rsidR="004662DC" w:rsidRPr="004133BB" w:rsidRDefault="004662DC" w:rsidP="004133BB">
      <w:pPr>
        <w:pStyle w:val="uvodniosloveni"/>
        <w:spacing w:before="120" w:line="259" w:lineRule="auto"/>
        <w:ind w:left="0"/>
        <w:rPr>
          <w:rFonts w:ascii="Times New Roman" w:hAnsi="Times New Roman"/>
          <w:sz w:val="24"/>
          <w:szCs w:val="24"/>
        </w:rPr>
      </w:pPr>
      <w:r w:rsidRPr="004133BB">
        <w:rPr>
          <w:rFonts w:ascii="Times New Roman" w:hAnsi="Times New Roman"/>
          <w:color w:val="auto"/>
          <w:sz w:val="24"/>
          <w:szCs w:val="24"/>
        </w:rPr>
        <w:t xml:space="preserve">Navrhovaná právní úprava do zákazu diskriminace či do rovnosti mužů a žen nezasahuje.  </w:t>
      </w:r>
    </w:p>
    <w:p w:rsidR="004662DC" w:rsidRPr="004133BB" w:rsidRDefault="004133BB" w:rsidP="004133BB">
      <w:pPr>
        <w:spacing w:before="120"/>
        <w:jc w:val="both"/>
        <w:rPr>
          <w:u w:val="single"/>
        </w:rPr>
      </w:pPr>
      <w:r w:rsidRPr="004133BB">
        <w:rPr>
          <w:u w:val="single"/>
        </w:rPr>
        <w:t xml:space="preserve">3.10 </w:t>
      </w:r>
      <w:r w:rsidR="004662DC" w:rsidRPr="004133BB">
        <w:rPr>
          <w:u w:val="single"/>
        </w:rPr>
        <w:t>Zhodnocení dopadů na výkon státní statistické služby</w:t>
      </w:r>
    </w:p>
    <w:p w:rsidR="004662DC" w:rsidRPr="004133BB" w:rsidRDefault="004662DC" w:rsidP="004133BB">
      <w:pPr>
        <w:spacing w:before="120"/>
        <w:jc w:val="both"/>
      </w:pPr>
      <w:r w:rsidRPr="004133BB">
        <w:t>Navrhovaná právní úprava nemá žádné dopady na výkon státní statistické služby.</w:t>
      </w:r>
    </w:p>
    <w:p w:rsidR="004662DC" w:rsidRPr="004133BB" w:rsidRDefault="004133BB" w:rsidP="004133BB">
      <w:pPr>
        <w:spacing w:before="120"/>
        <w:jc w:val="both"/>
        <w:rPr>
          <w:u w:val="single"/>
        </w:rPr>
      </w:pPr>
      <w:r w:rsidRPr="004133BB">
        <w:rPr>
          <w:u w:val="single"/>
        </w:rPr>
        <w:t xml:space="preserve">3.11 </w:t>
      </w:r>
      <w:r w:rsidR="004662DC" w:rsidRPr="004133BB">
        <w:rPr>
          <w:u w:val="single"/>
        </w:rPr>
        <w:t xml:space="preserve">Zhodnocení dopadů ve vztahu k ochraně soukromí a osobních údajů </w:t>
      </w:r>
    </w:p>
    <w:p w:rsidR="004662DC" w:rsidRPr="004133BB" w:rsidRDefault="004662DC" w:rsidP="004133BB">
      <w:pPr>
        <w:spacing w:before="120"/>
        <w:jc w:val="both"/>
      </w:pPr>
      <w:r w:rsidRPr="004133BB">
        <w:rPr>
          <w:bCs/>
        </w:rPr>
        <w:t xml:space="preserve">Předkládané nařízení vlády nepřináší žádná rizika pro ochranu soukromí a osobních údajů. </w:t>
      </w:r>
    </w:p>
    <w:p w:rsidR="004662DC" w:rsidRPr="004133BB" w:rsidRDefault="004133BB" w:rsidP="004133BB">
      <w:pPr>
        <w:spacing w:before="120"/>
        <w:jc w:val="both"/>
        <w:rPr>
          <w:u w:val="single"/>
        </w:rPr>
      </w:pPr>
      <w:r w:rsidRPr="004133BB">
        <w:rPr>
          <w:u w:val="single"/>
        </w:rPr>
        <w:t xml:space="preserve">3.12 </w:t>
      </w:r>
      <w:r w:rsidR="004662DC" w:rsidRPr="004133BB">
        <w:rPr>
          <w:u w:val="single"/>
        </w:rPr>
        <w:t xml:space="preserve">Zhodnocení dopadů na bezpečnost nebo obranu státu </w:t>
      </w:r>
    </w:p>
    <w:p w:rsidR="004662DC" w:rsidRPr="004133BB" w:rsidRDefault="004662DC" w:rsidP="004133BB">
      <w:pPr>
        <w:spacing w:before="120"/>
        <w:jc w:val="both"/>
      </w:pPr>
      <w:r w:rsidRPr="004133BB">
        <w:t xml:space="preserve">Změny obsažené v návrhu žádným způsobem neovlivňují bezpečnost či obranu státu. </w:t>
      </w:r>
    </w:p>
    <w:p w:rsidR="004662DC" w:rsidRPr="004133BB" w:rsidRDefault="004133BB" w:rsidP="004133BB">
      <w:pPr>
        <w:spacing w:before="120"/>
        <w:jc w:val="both"/>
        <w:rPr>
          <w:u w:val="single"/>
        </w:rPr>
      </w:pPr>
      <w:r w:rsidRPr="004133BB">
        <w:rPr>
          <w:u w:val="single"/>
        </w:rPr>
        <w:t xml:space="preserve">3.13 </w:t>
      </w:r>
      <w:r w:rsidR="004662DC" w:rsidRPr="004133BB">
        <w:rPr>
          <w:u w:val="single"/>
        </w:rPr>
        <w:t xml:space="preserve">Zhodnocení korupčních rizik </w:t>
      </w:r>
    </w:p>
    <w:p w:rsidR="004662DC" w:rsidRPr="004133BB" w:rsidRDefault="004662DC" w:rsidP="004133BB">
      <w:pPr>
        <w:widowControl w:val="0"/>
        <w:autoSpaceDE w:val="0"/>
        <w:autoSpaceDN w:val="0"/>
        <w:adjustRightInd w:val="0"/>
        <w:spacing w:before="120"/>
        <w:jc w:val="both"/>
      </w:pPr>
      <w:r w:rsidRPr="004133BB">
        <w:t>Navrhovaná právní úprava nezakládá korupční rizika.</w:t>
      </w:r>
    </w:p>
    <w:p w:rsidR="009A3D20" w:rsidRPr="004133BB" w:rsidRDefault="00542A63" w:rsidP="00C052EF">
      <w:pPr>
        <w:spacing w:before="120"/>
        <w:jc w:val="both"/>
        <w:rPr>
          <w:u w:val="single"/>
        </w:rPr>
      </w:pPr>
      <w:r w:rsidRPr="004133BB">
        <w:rPr>
          <w:u w:val="single"/>
        </w:rPr>
        <w:t>3.</w:t>
      </w:r>
      <w:r w:rsidR="004133BB">
        <w:rPr>
          <w:u w:val="single"/>
        </w:rPr>
        <w:t>5</w:t>
      </w:r>
      <w:r w:rsidRPr="004133BB">
        <w:rPr>
          <w:u w:val="single"/>
        </w:rPr>
        <w:t xml:space="preserve"> Implementace</w:t>
      </w:r>
      <w:r w:rsidR="009A3D20" w:rsidRPr="004133BB">
        <w:rPr>
          <w:u w:val="single"/>
        </w:rPr>
        <w:t xml:space="preserve"> doporučené varianty a vynucování</w:t>
      </w:r>
    </w:p>
    <w:p w:rsidR="009A3D20" w:rsidRPr="00C052EF" w:rsidRDefault="004662DC" w:rsidP="00C052EF">
      <w:pPr>
        <w:widowControl w:val="0"/>
        <w:spacing w:before="120"/>
        <w:jc w:val="both"/>
        <w:rPr>
          <w:color w:val="000000"/>
        </w:rPr>
      </w:pPr>
      <w:r>
        <w:rPr>
          <w:color w:val="000000"/>
        </w:rPr>
        <w:t>V rámci doporučené varianty budou nastavena nová pravidla při vydávání doporučení ke</w:t>
      </w:r>
      <w:r w:rsidR="004133BB">
        <w:rPr>
          <w:color w:val="000000"/>
        </w:rPr>
        <w:t> </w:t>
      </w:r>
      <w:r>
        <w:rPr>
          <w:color w:val="000000"/>
        </w:rPr>
        <w:t xml:space="preserve">vzdělávání žáků se SVP za strany ŠPZ. Bližší specifikace bude upravena prováděcími právními předpisy a metodickou podporou předkladatele. </w:t>
      </w:r>
      <w:r w:rsidR="009A3D20" w:rsidRPr="00C052EF">
        <w:rPr>
          <w:color w:val="000000"/>
        </w:rPr>
        <w:t xml:space="preserve">Vynucování bude zajišťovat </w:t>
      </w:r>
      <w:r w:rsidR="0044234C">
        <w:rPr>
          <w:color w:val="000000"/>
        </w:rPr>
        <w:lastRenderedPageBreak/>
        <w:t>ministerstvo</w:t>
      </w:r>
      <w:r w:rsidR="009A3D20" w:rsidRPr="00C052EF">
        <w:rPr>
          <w:color w:val="000000"/>
        </w:rPr>
        <w:t xml:space="preserve"> nastavenými kontrolními mechanismy</w:t>
      </w:r>
      <w:r>
        <w:rPr>
          <w:color w:val="000000"/>
        </w:rPr>
        <w:t xml:space="preserve"> (revizní pracoviště, ČŠI)</w:t>
      </w:r>
      <w:r w:rsidR="009A3D20" w:rsidRPr="00C052EF">
        <w:rPr>
          <w:color w:val="000000"/>
        </w:rPr>
        <w:t xml:space="preserve">. </w:t>
      </w:r>
    </w:p>
    <w:p w:rsidR="009A3D20" w:rsidRDefault="009A3D20" w:rsidP="00C052EF">
      <w:pPr>
        <w:widowControl w:val="0"/>
        <w:spacing w:before="120"/>
        <w:jc w:val="both"/>
        <w:rPr>
          <w:color w:val="000000"/>
        </w:rPr>
      </w:pPr>
      <w:r w:rsidRPr="00C052EF">
        <w:rPr>
          <w:color w:val="000000"/>
        </w:rPr>
        <w:t xml:space="preserve">Odpovědnost za implementaci vybrané varianty ponesou </w:t>
      </w:r>
      <w:r w:rsidR="004662DC">
        <w:rPr>
          <w:color w:val="000000"/>
        </w:rPr>
        <w:t xml:space="preserve">zejména </w:t>
      </w:r>
      <w:r w:rsidRPr="00C052EF">
        <w:rPr>
          <w:color w:val="000000"/>
        </w:rPr>
        <w:t>jednotlivá ŠPZ a školy.</w:t>
      </w:r>
    </w:p>
    <w:p w:rsidR="009A3D20" w:rsidRPr="00C052EF" w:rsidRDefault="009A3D20" w:rsidP="00C052EF">
      <w:pPr>
        <w:spacing w:before="120"/>
        <w:jc w:val="both"/>
        <w:rPr>
          <w:u w:val="single"/>
        </w:rPr>
      </w:pPr>
      <w:r w:rsidRPr="00C052EF">
        <w:rPr>
          <w:u w:val="single"/>
        </w:rPr>
        <w:t>3.</w:t>
      </w:r>
      <w:r w:rsidR="004133BB">
        <w:rPr>
          <w:u w:val="single"/>
        </w:rPr>
        <w:t>6</w:t>
      </w:r>
      <w:r w:rsidRPr="00C052EF">
        <w:rPr>
          <w:u w:val="single"/>
        </w:rPr>
        <w:t xml:space="preserve"> Přezkum účinnosti regulace </w:t>
      </w:r>
    </w:p>
    <w:p w:rsidR="007E4906" w:rsidRPr="00CA279E" w:rsidRDefault="009A3D20" w:rsidP="007E4906">
      <w:pPr>
        <w:widowControl w:val="0"/>
        <w:spacing w:before="120"/>
        <w:jc w:val="both"/>
        <w:rPr>
          <w:rFonts w:cstheme="minorHAnsi"/>
          <w:color w:val="000000"/>
        </w:rPr>
      </w:pPr>
      <w:r w:rsidRPr="00C052EF">
        <w:rPr>
          <w:color w:val="000000"/>
        </w:rPr>
        <w:t xml:space="preserve">Přezkum účinnosti regulace navrhujeme alespoň za období dvou let od nabytí účinnosti zákona. Pro zajištění efektivního přezkumu účinnosti regulace bude </w:t>
      </w:r>
      <w:r w:rsidR="001C06E4">
        <w:rPr>
          <w:color w:val="000000"/>
        </w:rPr>
        <w:t>ministerstvo</w:t>
      </w:r>
      <w:r w:rsidR="007E4906">
        <w:rPr>
          <w:color w:val="000000"/>
        </w:rPr>
        <w:t xml:space="preserve"> sledovat působení nové právní úpravy </w:t>
      </w:r>
      <w:r w:rsidRPr="00C052EF">
        <w:rPr>
          <w:color w:val="000000"/>
        </w:rPr>
        <w:t>vyhodnoc</w:t>
      </w:r>
      <w:r w:rsidR="007E4906">
        <w:rPr>
          <w:color w:val="000000"/>
        </w:rPr>
        <w:t xml:space="preserve">ením statistických dat a sledováním čerpání rozpočtů. </w:t>
      </w:r>
    </w:p>
    <w:p w:rsidR="00571216" w:rsidRPr="00C052EF" w:rsidRDefault="00542A63" w:rsidP="00C052EF">
      <w:pPr>
        <w:spacing w:before="120"/>
        <w:jc w:val="both"/>
        <w:rPr>
          <w:u w:val="single"/>
        </w:rPr>
      </w:pPr>
      <w:r w:rsidRPr="00C052EF">
        <w:rPr>
          <w:u w:val="single"/>
        </w:rPr>
        <w:t>3.</w:t>
      </w:r>
      <w:r w:rsidR="004133BB">
        <w:rPr>
          <w:u w:val="single"/>
        </w:rPr>
        <w:t>7</w:t>
      </w:r>
      <w:r w:rsidR="00571216" w:rsidRPr="00C052EF">
        <w:rPr>
          <w:u w:val="single"/>
        </w:rPr>
        <w:t xml:space="preserve"> Konzultace a zdroje dat</w:t>
      </w:r>
    </w:p>
    <w:p w:rsidR="007E4906" w:rsidRPr="00CA279E" w:rsidRDefault="007E4906" w:rsidP="007E4906">
      <w:pPr>
        <w:spacing w:before="120"/>
        <w:jc w:val="both"/>
        <w:rPr>
          <w:rFonts w:cstheme="minorHAnsi"/>
          <w:color w:val="000000"/>
        </w:rPr>
      </w:pPr>
      <w:r w:rsidRPr="00CA279E">
        <w:rPr>
          <w:rFonts w:cstheme="minorHAnsi"/>
          <w:color w:val="000000"/>
        </w:rPr>
        <w:t xml:space="preserve">Věcné parametry úpravy byly </w:t>
      </w:r>
      <w:r>
        <w:rPr>
          <w:rFonts w:cstheme="minorHAnsi"/>
          <w:color w:val="000000"/>
        </w:rPr>
        <w:t xml:space="preserve">konzultovány </w:t>
      </w:r>
      <w:r w:rsidRPr="00CA279E">
        <w:rPr>
          <w:rFonts w:cstheme="minorHAnsi"/>
          <w:color w:val="000000"/>
        </w:rPr>
        <w:t>v rámci jednání se zástupci dotčených subjektů a se zástupci</w:t>
      </w:r>
      <w:r>
        <w:rPr>
          <w:rFonts w:cstheme="minorHAnsi"/>
          <w:color w:val="000000"/>
        </w:rPr>
        <w:t xml:space="preserve"> odborných</w:t>
      </w:r>
      <w:r w:rsidRPr="00CA279E">
        <w:rPr>
          <w:rFonts w:cstheme="minorHAnsi"/>
          <w:color w:val="000000"/>
        </w:rPr>
        <w:t xml:space="preserve"> asociací. </w:t>
      </w:r>
    </w:p>
    <w:p w:rsidR="00EB5F30" w:rsidRPr="00C052EF" w:rsidRDefault="00EB5F30" w:rsidP="00C052EF">
      <w:pPr>
        <w:spacing w:before="120"/>
        <w:jc w:val="both"/>
        <w:rPr>
          <w:color w:val="000000"/>
        </w:rPr>
      </w:pPr>
      <w:r w:rsidRPr="00C052EF">
        <w:rPr>
          <w:color w:val="000000"/>
        </w:rPr>
        <w:t>Při zpracování návrhu novely zákona vycházel předkladatel z vlastních statistických dat a</w:t>
      </w:r>
      <w:r w:rsidR="00C052EF">
        <w:rPr>
          <w:color w:val="000000"/>
        </w:rPr>
        <w:t> </w:t>
      </w:r>
      <w:r w:rsidRPr="00C052EF">
        <w:rPr>
          <w:color w:val="000000"/>
        </w:rPr>
        <w:t>z dat Českého statistického úřadu.</w:t>
      </w:r>
    </w:p>
    <w:p w:rsidR="00E739F6" w:rsidRPr="007E4906" w:rsidRDefault="003724EF" w:rsidP="00E553CD">
      <w:pPr>
        <w:shd w:val="clear" w:color="auto" w:fill="BDD6EE"/>
        <w:spacing w:before="120" w:after="120"/>
        <w:jc w:val="both"/>
        <w:rPr>
          <w:b/>
          <w:bCs/>
          <w:lang w:eastAsia="x-none"/>
        </w:rPr>
      </w:pPr>
      <w:r w:rsidRPr="007E4906">
        <w:rPr>
          <w:b/>
          <w:smallCaps/>
        </w:rPr>
        <w:t>4</w:t>
      </w:r>
      <w:r w:rsidR="00E739F6" w:rsidRPr="007E4906">
        <w:rPr>
          <w:b/>
          <w:smallCaps/>
        </w:rPr>
        <w:t xml:space="preserve">. </w:t>
      </w:r>
      <w:r w:rsidR="00E739F6" w:rsidRPr="007E4906">
        <w:rPr>
          <w:b/>
        </w:rPr>
        <w:t>Kontakty na zpracovatele 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7"/>
      </w:tblGrid>
      <w:tr w:rsidR="00E739F6" w:rsidRPr="00C052EF" w:rsidTr="008D57C2">
        <w:tc>
          <w:tcPr>
            <w:tcW w:w="4606" w:type="dxa"/>
          </w:tcPr>
          <w:p w:rsidR="00E739F6" w:rsidRPr="00C052EF" w:rsidRDefault="00E739F6" w:rsidP="00C052EF">
            <w:pPr>
              <w:spacing w:before="120"/>
              <w:jc w:val="both"/>
              <w:rPr>
                <w:b/>
              </w:rPr>
            </w:pPr>
            <w:r w:rsidRPr="00C052EF">
              <w:rPr>
                <w:b/>
              </w:rPr>
              <w:t xml:space="preserve">Odbor </w:t>
            </w:r>
            <w:r w:rsidR="00C052EF">
              <w:rPr>
                <w:b/>
              </w:rPr>
              <w:t xml:space="preserve">předškolního, základního, základního uměleckého a speciálního vzdělávání </w:t>
            </w:r>
          </w:p>
        </w:tc>
        <w:tc>
          <w:tcPr>
            <w:tcW w:w="4606" w:type="dxa"/>
          </w:tcPr>
          <w:p w:rsidR="00E739F6" w:rsidRPr="007E4906" w:rsidRDefault="00E739F6" w:rsidP="00C052EF">
            <w:pPr>
              <w:spacing w:before="120"/>
              <w:jc w:val="both"/>
            </w:pPr>
            <w:r w:rsidRPr="007E4906">
              <w:t xml:space="preserve">e-mailové kontakty: </w:t>
            </w:r>
          </w:p>
          <w:p w:rsidR="00E739F6" w:rsidRPr="007E4906" w:rsidRDefault="007E4906" w:rsidP="00C052EF">
            <w:pPr>
              <w:spacing w:before="120" w:line="276" w:lineRule="auto"/>
              <w:jc w:val="both"/>
            </w:pPr>
            <w:r w:rsidRPr="007E4906">
              <w:t>jaroslav.faltyn</w:t>
            </w:r>
            <w:r w:rsidR="00E739F6" w:rsidRPr="007E4906">
              <w:t>@msmt.cz</w:t>
            </w:r>
          </w:p>
          <w:p w:rsidR="00E739F6" w:rsidRPr="007E4906" w:rsidRDefault="00376924" w:rsidP="00C052EF">
            <w:pPr>
              <w:spacing w:before="120" w:line="276" w:lineRule="auto"/>
              <w:jc w:val="both"/>
            </w:pPr>
            <w:r>
              <w:t>ivana.</w:t>
            </w:r>
            <w:r w:rsidR="007E4906" w:rsidRPr="007E4906">
              <w:t>blazkova</w:t>
            </w:r>
            <w:r w:rsidR="00E739F6" w:rsidRPr="007E4906">
              <w:t>@msmt.cz</w:t>
            </w:r>
          </w:p>
        </w:tc>
      </w:tr>
    </w:tbl>
    <w:p w:rsidR="00205D72" w:rsidRDefault="00205D72" w:rsidP="00C07782">
      <w:pPr>
        <w:jc w:val="both"/>
        <w:rPr>
          <w:bCs/>
          <w:lang w:eastAsia="x-none"/>
        </w:rPr>
      </w:pPr>
    </w:p>
    <w:p w:rsidR="00205D72" w:rsidRDefault="00205D72" w:rsidP="00C07782">
      <w:pPr>
        <w:jc w:val="both"/>
        <w:rPr>
          <w:b/>
          <w:bCs/>
          <w:lang w:eastAsia="x-none"/>
        </w:rPr>
        <w:sectPr w:rsidR="00205D72" w:rsidSect="00205D72">
          <w:headerReference w:type="default" r:id="rId9"/>
          <w:footerReference w:type="default" r:id="rId10"/>
          <w:pgSz w:w="11906" w:h="16838"/>
          <w:pgMar w:top="1417" w:right="1417" w:bottom="1417" w:left="1417" w:header="720" w:footer="720" w:gutter="0"/>
          <w:pgNumType w:start="1"/>
          <w:cols w:space="720"/>
          <w:docGrid w:linePitch="360"/>
        </w:sectPr>
      </w:pPr>
    </w:p>
    <w:p w:rsidR="00205D72" w:rsidRDefault="00205D72" w:rsidP="00C07782">
      <w:pPr>
        <w:jc w:val="both"/>
        <w:rPr>
          <w:b/>
          <w:bCs/>
          <w:lang w:eastAsia="x-none"/>
        </w:rPr>
      </w:pPr>
      <w:r w:rsidRPr="00205D72">
        <w:rPr>
          <w:b/>
          <w:bCs/>
          <w:lang w:eastAsia="x-none"/>
        </w:rPr>
        <w:lastRenderedPageBreak/>
        <w:t xml:space="preserve">Příloha – </w:t>
      </w:r>
      <w:r w:rsidR="00403835">
        <w:rPr>
          <w:b/>
        </w:rPr>
        <w:t>Odhad</w:t>
      </w:r>
      <w:r w:rsidR="00403835" w:rsidRPr="00E66CDC">
        <w:rPr>
          <w:b/>
        </w:rPr>
        <w:t xml:space="preserve"> </w:t>
      </w:r>
      <w:r w:rsidR="00403835">
        <w:rPr>
          <w:b/>
        </w:rPr>
        <w:t xml:space="preserve">racionalizace </w:t>
      </w:r>
      <w:r w:rsidR="00403835" w:rsidRPr="00E66CDC">
        <w:rPr>
          <w:b/>
        </w:rPr>
        <w:t>nákladů vynakládaných na podpůrné opatření asistent pedagoga</w:t>
      </w:r>
      <w:r w:rsidR="00403835" w:rsidRPr="00205D72">
        <w:rPr>
          <w:b/>
          <w:bCs/>
          <w:lang w:eastAsia="x-none"/>
        </w:rPr>
        <w:t xml:space="preserve"> </w:t>
      </w:r>
    </w:p>
    <w:p w:rsidR="00205D72" w:rsidRPr="00EF4E44" w:rsidRDefault="00403835" w:rsidP="00403835">
      <w:pPr>
        <w:spacing w:before="120"/>
        <w:jc w:val="both"/>
        <w:rPr>
          <w:b/>
        </w:rPr>
      </w:pPr>
      <w:r w:rsidRPr="00EF4E44">
        <w:rPr>
          <w:noProof/>
        </w:rPr>
        <w:drawing>
          <wp:inline distT="0" distB="0" distL="0" distR="0">
            <wp:extent cx="8890635" cy="4108812"/>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05833" cy="4115836"/>
                    </a:xfrm>
                    <a:prstGeom prst="rect">
                      <a:avLst/>
                    </a:prstGeom>
                    <a:noFill/>
                    <a:ln>
                      <a:noFill/>
                    </a:ln>
                  </pic:spPr>
                </pic:pic>
              </a:graphicData>
            </a:graphic>
          </wp:inline>
        </w:drawing>
      </w:r>
    </w:p>
    <w:p w:rsidR="006260BE" w:rsidRPr="00EF4E44" w:rsidRDefault="00403835" w:rsidP="00EF4E44">
      <w:pPr>
        <w:spacing w:before="120"/>
        <w:jc w:val="both"/>
        <w:rPr>
          <w:color w:val="000000"/>
        </w:rPr>
      </w:pPr>
      <w:r w:rsidRPr="00EF4E44">
        <w:rPr>
          <w:color w:val="000000"/>
        </w:rPr>
        <w:t xml:space="preserve">Nad mediánem </w:t>
      </w:r>
      <w:r w:rsidR="00205D72" w:rsidRPr="00EF4E44">
        <w:rPr>
          <w:color w:val="000000"/>
        </w:rPr>
        <w:t>se v počtu doporučení i v poměru počtu doporučení na počet klientů pohybuje Středočeský, Ústecký, Královéhradecký a</w:t>
      </w:r>
      <w:r w:rsidRPr="00EF4E44">
        <w:rPr>
          <w:color w:val="000000"/>
        </w:rPr>
        <w:t> </w:t>
      </w:r>
      <w:r w:rsidR="00205D72" w:rsidRPr="00EF4E44">
        <w:rPr>
          <w:color w:val="000000"/>
        </w:rPr>
        <w:t xml:space="preserve">Moravskoslezský kraj. Celkem je u těchto krajů nad mediánem 3 742 doporučení ke zřízení funkce asistenta pedagoga. Nejčastěji doporučovaných podpůrným opatřením je Asistent pedagoga sdílený ve škole (úvazek 0,75), při přepočtení se jedná o celkem 2 806,5 úvazků </w:t>
      </w:r>
      <w:r w:rsidR="00205D72" w:rsidRPr="00EF4E44">
        <w:t>nad</w:t>
      </w:r>
      <w:r w:rsidRPr="00EF4E44">
        <w:t> </w:t>
      </w:r>
      <w:r w:rsidR="00205D72" w:rsidRPr="00EF4E44">
        <w:t>mediánem</w:t>
      </w:r>
      <w:r w:rsidR="00205D72" w:rsidRPr="00EF4E44">
        <w:rPr>
          <w:color w:val="000000"/>
        </w:rPr>
        <w:t xml:space="preserve">. </w:t>
      </w:r>
      <w:r w:rsidR="00EF4E44" w:rsidRPr="00EF4E44">
        <w:rPr>
          <w:color w:val="000000"/>
        </w:rPr>
        <w:t xml:space="preserve"> </w:t>
      </w:r>
      <w:r w:rsidR="00205D72" w:rsidRPr="00EF4E44">
        <w:rPr>
          <w:color w:val="000000"/>
        </w:rPr>
        <w:t>Dle údajů k 1. 11. 2019 se předpokládají neinvestiční výdaje na jeden úvazek asistenta pedagoga na rok 2020 celkem 406 030,</w:t>
      </w:r>
      <w:r w:rsidR="00205D72" w:rsidRPr="00EF4E44">
        <w:t>61Kč</w:t>
      </w:r>
      <w:r w:rsidR="00205D72" w:rsidRPr="00EF4E44">
        <w:rPr>
          <w:color w:val="000000"/>
        </w:rPr>
        <w:t>. Pokud by došlo k racionalizaci počtu doporučení ke zřízení funkce asistenta pedagoga, snížily by se roční náklady na toto podpůrné opatření o cca 1 139</w:t>
      </w:r>
      <w:r w:rsidRPr="00EF4E44">
        <w:rPr>
          <w:color w:val="000000"/>
        </w:rPr>
        <w:t> </w:t>
      </w:r>
      <w:r w:rsidR="00205D72" w:rsidRPr="00EF4E44">
        <w:rPr>
          <w:color w:val="000000"/>
        </w:rPr>
        <w:t>524</w:t>
      </w:r>
      <w:r w:rsidRPr="00EF4E44">
        <w:rPr>
          <w:color w:val="000000"/>
        </w:rPr>
        <w:t> </w:t>
      </w:r>
      <w:r w:rsidR="00205D72" w:rsidRPr="00EF4E44">
        <w:rPr>
          <w:color w:val="000000"/>
        </w:rPr>
        <w:t>907 Kč. Protože počet úvazků AP ve školách/třídách 16/9 je cca 18,3</w:t>
      </w:r>
      <w:r w:rsidR="006260BE">
        <w:rPr>
          <w:color w:val="000000"/>
        </w:rPr>
        <w:t xml:space="preserve"> %</w:t>
      </w:r>
      <w:r w:rsidR="00205D72" w:rsidRPr="00EF4E44">
        <w:rPr>
          <w:color w:val="000000"/>
        </w:rPr>
        <w:t xml:space="preserve"> z celkového počtu</w:t>
      </w:r>
      <w:r w:rsidR="006260BE">
        <w:rPr>
          <w:color w:val="000000"/>
        </w:rPr>
        <w:t xml:space="preserve"> (208 533 058 Kč)</w:t>
      </w:r>
      <w:r w:rsidR="00205D72" w:rsidRPr="00EF4E44">
        <w:rPr>
          <w:color w:val="000000"/>
        </w:rPr>
        <w:t>, odhad snížení ročních nákladů na PO AP v běžných školách/třídách je 930 991 849 Kč.</w:t>
      </w:r>
      <w:r w:rsidR="006260BE">
        <w:rPr>
          <w:color w:val="000000"/>
        </w:rPr>
        <w:t xml:space="preserve"> </w:t>
      </w:r>
    </w:p>
    <w:p w:rsidR="00AA411D" w:rsidRDefault="00AA411D" w:rsidP="00AA411D">
      <w:pPr>
        <w:spacing w:after="120"/>
        <w:jc w:val="both"/>
        <w:rPr>
          <w:b/>
        </w:rPr>
      </w:pPr>
      <w:r>
        <w:rPr>
          <w:b/>
        </w:rPr>
        <w:lastRenderedPageBreak/>
        <w:t>Odhad</w:t>
      </w:r>
      <w:r w:rsidRPr="00E66CDC">
        <w:rPr>
          <w:b/>
        </w:rPr>
        <w:t xml:space="preserve"> </w:t>
      </w:r>
      <w:r>
        <w:rPr>
          <w:b/>
        </w:rPr>
        <w:t xml:space="preserve">racionalizace </w:t>
      </w:r>
      <w:r w:rsidRPr="00E66CDC">
        <w:rPr>
          <w:b/>
        </w:rPr>
        <w:t xml:space="preserve">nákladů vynakládaných na podpůrné opatření </w:t>
      </w:r>
      <w:r>
        <w:rPr>
          <w:b/>
        </w:rPr>
        <w:t>pedagogická intervence</w:t>
      </w:r>
    </w:p>
    <w:p w:rsidR="00205D72" w:rsidRDefault="00AA411D" w:rsidP="00C07782">
      <w:pPr>
        <w:jc w:val="both"/>
        <w:rPr>
          <w:b/>
          <w:bCs/>
          <w:lang w:eastAsia="x-none"/>
        </w:rPr>
      </w:pPr>
      <w:r w:rsidRPr="00AA411D">
        <w:rPr>
          <w:noProof/>
        </w:rPr>
        <w:drawing>
          <wp:inline distT="0" distB="0" distL="0" distR="0">
            <wp:extent cx="8891270" cy="4151147"/>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4151147"/>
                    </a:xfrm>
                    <a:prstGeom prst="rect">
                      <a:avLst/>
                    </a:prstGeom>
                    <a:noFill/>
                    <a:ln>
                      <a:noFill/>
                    </a:ln>
                  </pic:spPr>
                </pic:pic>
              </a:graphicData>
            </a:graphic>
          </wp:inline>
        </w:drawing>
      </w:r>
    </w:p>
    <w:p w:rsidR="00AA411D" w:rsidRDefault="00AA411D" w:rsidP="00AA411D">
      <w:pPr>
        <w:spacing w:before="240" w:after="120"/>
        <w:jc w:val="both"/>
        <w:rPr>
          <w:color w:val="000000"/>
        </w:rPr>
      </w:pPr>
      <w:r w:rsidRPr="00406F6D">
        <w:rPr>
          <w:color w:val="000000"/>
        </w:rPr>
        <w:t xml:space="preserve">Z výše uvedeného vyplývá, že podíl </w:t>
      </w:r>
      <w:r>
        <w:rPr>
          <w:color w:val="000000"/>
        </w:rPr>
        <w:t xml:space="preserve">vykázaných podpůrných opatření pedagogická intervence </w:t>
      </w:r>
      <w:r w:rsidRPr="00406F6D">
        <w:rPr>
          <w:color w:val="000000"/>
        </w:rPr>
        <w:t>na počet klientů, jimž byla poskytnuta péče k 30.</w:t>
      </w:r>
      <w:r>
        <w:rPr>
          <w:color w:val="000000"/>
        </w:rPr>
        <w:t> </w:t>
      </w:r>
      <w:r w:rsidRPr="00406F6D">
        <w:rPr>
          <w:color w:val="000000"/>
        </w:rPr>
        <w:t>9.</w:t>
      </w:r>
      <w:r>
        <w:rPr>
          <w:color w:val="000000"/>
        </w:rPr>
        <w:t> </w:t>
      </w:r>
      <w:r w:rsidRPr="00406F6D">
        <w:rPr>
          <w:color w:val="000000"/>
        </w:rPr>
        <w:t>2018</w:t>
      </w:r>
      <w:r>
        <w:rPr>
          <w:color w:val="000000"/>
        </w:rPr>
        <w:t>,</w:t>
      </w:r>
      <w:r w:rsidRPr="00406F6D">
        <w:rPr>
          <w:color w:val="000000"/>
        </w:rPr>
        <w:t xml:space="preserve"> je nejvýraznější ve</w:t>
      </w:r>
      <w:r>
        <w:rPr>
          <w:color w:val="000000"/>
        </w:rPr>
        <w:t> Středočeském (16,84 %) a Libereckém kraji (14,91 %) a na Vysočině (16,71 %). R</w:t>
      </w:r>
      <w:r w:rsidRPr="00406F6D">
        <w:rPr>
          <w:color w:val="000000"/>
        </w:rPr>
        <w:t>ozdíl mezi nejnižším a</w:t>
      </w:r>
      <w:r>
        <w:rPr>
          <w:color w:val="000000"/>
        </w:rPr>
        <w:t> </w:t>
      </w:r>
      <w:r w:rsidRPr="00406F6D">
        <w:rPr>
          <w:color w:val="000000"/>
        </w:rPr>
        <w:t xml:space="preserve">nejvyšším procentním podílem v rámci porovnání jednotlivých krajů dosahuje </w:t>
      </w:r>
      <w:r>
        <w:rPr>
          <w:color w:val="000000"/>
        </w:rPr>
        <w:t>11,74</w:t>
      </w:r>
      <w:r w:rsidRPr="00406F6D">
        <w:rPr>
          <w:color w:val="000000"/>
        </w:rPr>
        <w:t> % (Středočeský</w:t>
      </w:r>
      <w:r>
        <w:rPr>
          <w:color w:val="000000"/>
        </w:rPr>
        <w:t xml:space="preserve"> kraj</w:t>
      </w:r>
      <w:r w:rsidRPr="00406F6D">
        <w:rPr>
          <w:color w:val="000000"/>
        </w:rPr>
        <w:t xml:space="preserve"> a</w:t>
      </w:r>
      <w:r>
        <w:rPr>
          <w:color w:val="000000"/>
        </w:rPr>
        <w:t> Hlavní město Praha</w:t>
      </w:r>
      <w:r w:rsidRPr="00406F6D">
        <w:rPr>
          <w:color w:val="000000"/>
        </w:rPr>
        <w:t xml:space="preserve">). </w:t>
      </w:r>
    </w:p>
    <w:p w:rsidR="0036200E" w:rsidRPr="00406F6D" w:rsidRDefault="0036200E" w:rsidP="00AA411D">
      <w:pPr>
        <w:spacing w:before="240" w:after="120"/>
        <w:jc w:val="both"/>
        <w:rPr>
          <w:color w:val="000000"/>
        </w:rPr>
      </w:pPr>
      <w:r w:rsidRPr="00FF5130">
        <w:rPr>
          <w:color w:val="000000"/>
        </w:rPr>
        <w:t>Vedle tohoto</w:t>
      </w:r>
      <w:r w:rsidR="00211BAA" w:rsidRPr="00FF5130">
        <w:rPr>
          <w:color w:val="000000"/>
        </w:rPr>
        <w:t xml:space="preserve"> očekávání</w:t>
      </w:r>
      <w:r w:rsidRPr="00FF5130">
        <w:rPr>
          <w:color w:val="000000"/>
        </w:rPr>
        <w:t xml:space="preserve"> připravuje předkladatel</w:t>
      </w:r>
      <w:r w:rsidR="00211BAA" w:rsidRPr="00FF5130">
        <w:rPr>
          <w:color w:val="000000"/>
        </w:rPr>
        <w:t xml:space="preserve"> jiné věcné řešení poskytování podpůrného opatření pedagogické intervence</w:t>
      </w:r>
      <w:r w:rsidR="00331A01">
        <w:rPr>
          <w:color w:val="000000"/>
        </w:rPr>
        <w:t>,</w:t>
      </w:r>
      <w:r w:rsidR="00211BAA" w:rsidRPr="00FF5130">
        <w:rPr>
          <w:color w:val="000000"/>
        </w:rPr>
        <w:t xml:space="preserve"> a to formou parametrizace na konkrétní školy.</w:t>
      </w:r>
    </w:p>
    <w:sectPr w:rsidR="0036200E" w:rsidRPr="00406F6D" w:rsidSect="00205D72">
      <w:pgSz w:w="16838" w:h="11906" w:orient="landscape"/>
      <w:pgMar w:top="141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912" w:rsidRDefault="00C71912">
      <w:r>
        <w:separator/>
      </w:r>
    </w:p>
  </w:endnote>
  <w:endnote w:type="continuationSeparator" w:id="0">
    <w:p w:rsidR="00C71912" w:rsidRDefault="00C71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49644"/>
      <w:docPartObj>
        <w:docPartGallery w:val="Page Numbers (Bottom of Page)"/>
        <w:docPartUnique/>
      </w:docPartObj>
    </w:sdtPr>
    <w:sdtEndPr/>
    <w:sdtContent>
      <w:p w:rsidR="00E04FE9" w:rsidRDefault="00E04FE9">
        <w:pPr>
          <w:pStyle w:val="Zpat"/>
          <w:jc w:val="center"/>
        </w:pPr>
        <w:r w:rsidRPr="00AD5138">
          <w:rPr>
            <w:rFonts w:ascii="Times New Roman" w:hAnsi="Times New Roman"/>
            <w:sz w:val="24"/>
            <w:szCs w:val="24"/>
          </w:rPr>
          <w:fldChar w:fldCharType="begin"/>
        </w:r>
        <w:r w:rsidRPr="00AD5138">
          <w:rPr>
            <w:rFonts w:ascii="Times New Roman" w:hAnsi="Times New Roman"/>
            <w:sz w:val="24"/>
            <w:szCs w:val="24"/>
          </w:rPr>
          <w:instrText>PAGE   \* MERGEFORMAT</w:instrText>
        </w:r>
        <w:r w:rsidRPr="00AD5138">
          <w:rPr>
            <w:rFonts w:ascii="Times New Roman" w:hAnsi="Times New Roman"/>
            <w:sz w:val="24"/>
            <w:szCs w:val="24"/>
          </w:rPr>
          <w:fldChar w:fldCharType="separate"/>
        </w:r>
        <w:r w:rsidR="00E35F29">
          <w:rPr>
            <w:rFonts w:ascii="Times New Roman" w:hAnsi="Times New Roman"/>
            <w:noProof/>
            <w:sz w:val="24"/>
            <w:szCs w:val="24"/>
          </w:rPr>
          <w:t>1</w:t>
        </w:r>
        <w:r w:rsidRPr="00AD5138">
          <w:rPr>
            <w:rFonts w:ascii="Times New Roman" w:hAnsi="Times New Roman"/>
            <w:sz w:val="24"/>
            <w:szCs w:val="24"/>
          </w:rPr>
          <w:fldChar w:fldCharType="end"/>
        </w:r>
      </w:p>
    </w:sdtContent>
  </w:sdt>
  <w:p w:rsidR="00E04FE9" w:rsidRDefault="00E04FE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912" w:rsidRDefault="00C71912">
      <w:r>
        <w:separator/>
      </w:r>
    </w:p>
  </w:footnote>
  <w:footnote w:type="continuationSeparator" w:id="0">
    <w:p w:rsidR="00C71912" w:rsidRDefault="00C71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FE9" w:rsidRPr="00A86DE4" w:rsidRDefault="00E04FE9" w:rsidP="00A86DE4">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539"/>
        </w:tabs>
        <w:ind w:left="539" w:hanging="39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EA6EB1"/>
    <w:multiLevelType w:val="hybridMultilevel"/>
    <w:tmpl w:val="710E99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62F7BAD"/>
    <w:multiLevelType w:val="hybridMultilevel"/>
    <w:tmpl w:val="F3967638"/>
    <w:lvl w:ilvl="0" w:tplc="E3861474">
      <w:numFmt w:val="bullet"/>
      <w:lvlText w:val="-"/>
      <w:lvlJc w:val="left"/>
      <w:pPr>
        <w:ind w:left="360" w:hanging="360"/>
      </w:pPr>
      <w:rPr>
        <w:rFonts w:ascii="Calibri" w:eastAsia="Times New Roman" w:hAnsi="Calibri"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ADE0D50"/>
    <w:multiLevelType w:val="hybridMultilevel"/>
    <w:tmpl w:val="EF3EA00C"/>
    <w:lvl w:ilvl="0" w:tplc="A51CD55E">
      <w:start w:val="1"/>
      <w:numFmt w:val="decimal"/>
      <w:pStyle w:val="slovn"/>
      <w:lvlText w:val="%1."/>
      <w:lvlJc w:val="left"/>
      <w:pPr>
        <w:tabs>
          <w:tab w:val="num" w:pos="539"/>
        </w:tabs>
        <w:ind w:left="539" w:hanging="397"/>
      </w:pPr>
    </w:lvl>
    <w:lvl w:ilvl="1" w:tplc="04050019">
      <w:start w:val="1"/>
      <w:numFmt w:val="lowerLetter"/>
      <w:lvlText w:val="%2."/>
      <w:lvlJc w:val="left"/>
      <w:pPr>
        <w:tabs>
          <w:tab w:val="num" w:pos="1412"/>
        </w:tabs>
        <w:ind w:left="1412" w:hanging="360"/>
      </w:pPr>
    </w:lvl>
    <w:lvl w:ilvl="2" w:tplc="0405001B">
      <w:start w:val="1"/>
      <w:numFmt w:val="lowerRoman"/>
      <w:lvlText w:val="%3."/>
      <w:lvlJc w:val="right"/>
      <w:pPr>
        <w:tabs>
          <w:tab w:val="num" w:pos="2132"/>
        </w:tabs>
        <w:ind w:left="2132" w:hanging="180"/>
      </w:pPr>
    </w:lvl>
    <w:lvl w:ilvl="3" w:tplc="0405000F">
      <w:start w:val="1"/>
      <w:numFmt w:val="decimal"/>
      <w:lvlText w:val="%4."/>
      <w:lvlJc w:val="left"/>
      <w:pPr>
        <w:tabs>
          <w:tab w:val="num" w:pos="2852"/>
        </w:tabs>
        <w:ind w:left="2852" w:hanging="360"/>
      </w:pPr>
    </w:lvl>
    <w:lvl w:ilvl="4" w:tplc="04050019">
      <w:start w:val="1"/>
      <w:numFmt w:val="lowerLetter"/>
      <w:lvlText w:val="%5."/>
      <w:lvlJc w:val="left"/>
      <w:pPr>
        <w:tabs>
          <w:tab w:val="num" w:pos="3572"/>
        </w:tabs>
        <w:ind w:left="3572" w:hanging="360"/>
      </w:pPr>
    </w:lvl>
    <w:lvl w:ilvl="5" w:tplc="0405001B">
      <w:start w:val="1"/>
      <w:numFmt w:val="lowerRoman"/>
      <w:lvlText w:val="%6."/>
      <w:lvlJc w:val="right"/>
      <w:pPr>
        <w:tabs>
          <w:tab w:val="num" w:pos="4292"/>
        </w:tabs>
        <w:ind w:left="4292" w:hanging="180"/>
      </w:pPr>
    </w:lvl>
    <w:lvl w:ilvl="6" w:tplc="0405000F">
      <w:start w:val="1"/>
      <w:numFmt w:val="decimal"/>
      <w:lvlText w:val="%7."/>
      <w:lvlJc w:val="left"/>
      <w:pPr>
        <w:tabs>
          <w:tab w:val="num" w:pos="5012"/>
        </w:tabs>
        <w:ind w:left="5012" w:hanging="360"/>
      </w:pPr>
    </w:lvl>
    <w:lvl w:ilvl="7" w:tplc="04050019">
      <w:start w:val="1"/>
      <w:numFmt w:val="lowerLetter"/>
      <w:lvlText w:val="%8."/>
      <w:lvlJc w:val="left"/>
      <w:pPr>
        <w:tabs>
          <w:tab w:val="num" w:pos="5732"/>
        </w:tabs>
        <w:ind w:left="5732" w:hanging="360"/>
      </w:pPr>
    </w:lvl>
    <w:lvl w:ilvl="8" w:tplc="0405001B">
      <w:start w:val="1"/>
      <w:numFmt w:val="lowerRoman"/>
      <w:lvlText w:val="%9."/>
      <w:lvlJc w:val="right"/>
      <w:pPr>
        <w:tabs>
          <w:tab w:val="num" w:pos="6452"/>
        </w:tabs>
        <w:ind w:left="6452" w:hanging="180"/>
      </w:pPr>
    </w:lvl>
  </w:abstractNum>
  <w:abstractNum w:abstractNumId="4" w15:restartNumberingAfterBreak="0">
    <w:nsid w:val="0BA90743"/>
    <w:multiLevelType w:val="hybridMultilevel"/>
    <w:tmpl w:val="2ADA5930"/>
    <w:lvl w:ilvl="0" w:tplc="9592752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D5E07C7"/>
    <w:multiLevelType w:val="hybridMultilevel"/>
    <w:tmpl w:val="C8CE0A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C90E59"/>
    <w:multiLevelType w:val="hybridMultilevel"/>
    <w:tmpl w:val="5F4C7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166C80"/>
    <w:multiLevelType w:val="hybridMultilevel"/>
    <w:tmpl w:val="2B4C7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F14045"/>
    <w:multiLevelType w:val="hybridMultilevel"/>
    <w:tmpl w:val="A9A0CF7C"/>
    <w:lvl w:ilvl="0" w:tplc="D42060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87858E4"/>
    <w:multiLevelType w:val="multilevel"/>
    <w:tmpl w:val="E93EB4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17F13"/>
    <w:multiLevelType w:val="hybridMultilevel"/>
    <w:tmpl w:val="74185E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71BD0"/>
    <w:multiLevelType w:val="singleLevel"/>
    <w:tmpl w:val="433E251C"/>
    <w:lvl w:ilvl="0">
      <w:start w:val="1"/>
      <w:numFmt w:val="decimal"/>
      <w:pStyle w:val="Novelizanbod"/>
      <w:lvlText w:val="%1."/>
      <w:lvlJc w:val="left"/>
      <w:pPr>
        <w:tabs>
          <w:tab w:val="num" w:pos="709"/>
        </w:tabs>
        <w:ind w:left="709" w:hanging="567"/>
      </w:pPr>
      <w:rPr>
        <w:rFonts w:ascii="Arial" w:hAnsi="Arial" w:cs="Arial" w:hint="default"/>
        <w:b/>
        <w:i w:val="0"/>
        <w:color w:val="auto"/>
        <w:sz w:val="22"/>
      </w:rPr>
    </w:lvl>
  </w:abstractNum>
  <w:abstractNum w:abstractNumId="12" w15:restartNumberingAfterBreak="0">
    <w:nsid w:val="1F664FEB"/>
    <w:multiLevelType w:val="hybridMultilevel"/>
    <w:tmpl w:val="3CB8DB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CD47BC"/>
    <w:multiLevelType w:val="hybridMultilevel"/>
    <w:tmpl w:val="BED0BB10"/>
    <w:lvl w:ilvl="0" w:tplc="25CE97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0A5B16"/>
    <w:multiLevelType w:val="hybridMultilevel"/>
    <w:tmpl w:val="33D26436"/>
    <w:lvl w:ilvl="0" w:tplc="262E0190">
      <w:start w:val="2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5881499"/>
    <w:multiLevelType w:val="hybridMultilevel"/>
    <w:tmpl w:val="FC84FF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010CA"/>
    <w:multiLevelType w:val="hybridMultilevel"/>
    <w:tmpl w:val="837CC1A2"/>
    <w:lvl w:ilvl="0" w:tplc="94C4CF06">
      <w:numFmt w:val="bullet"/>
      <w:lvlText w:val="-"/>
      <w:lvlJc w:val="left"/>
      <w:pPr>
        <w:ind w:left="360" w:hanging="360"/>
      </w:pPr>
      <w:rPr>
        <w:rFonts w:ascii="Calibri" w:eastAsia="Calibri" w:hAnsi="Calibri" w:cs="Calibri" w:hint="default"/>
      </w:rPr>
    </w:lvl>
    <w:lvl w:ilvl="1" w:tplc="46FC9290">
      <w:numFmt w:val="bullet"/>
      <w:lvlText w:val="-"/>
      <w:lvlJc w:val="left"/>
      <w:pPr>
        <w:tabs>
          <w:tab w:val="num" w:pos="1440"/>
        </w:tabs>
        <w:ind w:left="1440" w:hanging="360"/>
      </w:pPr>
      <w:rPr>
        <w:rFonts w:ascii="Times New Roman" w:eastAsia="Calibr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6141E9"/>
    <w:multiLevelType w:val="hybridMultilevel"/>
    <w:tmpl w:val="ED0810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CF61E9E"/>
    <w:multiLevelType w:val="hybridMultilevel"/>
    <w:tmpl w:val="ADC28A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E12F5D"/>
    <w:multiLevelType w:val="hybridMultilevel"/>
    <w:tmpl w:val="4E50AE1A"/>
    <w:lvl w:ilvl="0" w:tplc="6A92FE2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AF74442"/>
    <w:multiLevelType w:val="hybridMultilevel"/>
    <w:tmpl w:val="020CD8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5E39AA"/>
    <w:multiLevelType w:val="hybridMultilevel"/>
    <w:tmpl w:val="ECA63374"/>
    <w:lvl w:ilvl="0" w:tplc="AE486F3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72469D6"/>
    <w:multiLevelType w:val="hybridMultilevel"/>
    <w:tmpl w:val="6144DDF6"/>
    <w:lvl w:ilvl="0" w:tplc="EE8C119E">
      <w:start w:val="12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F67BDE"/>
    <w:multiLevelType w:val="multilevel"/>
    <w:tmpl w:val="8B62D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A53161"/>
    <w:multiLevelType w:val="hybridMultilevel"/>
    <w:tmpl w:val="0A9C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4460ED"/>
    <w:multiLevelType w:val="hybridMultilevel"/>
    <w:tmpl w:val="A17E0A5C"/>
    <w:lvl w:ilvl="0" w:tplc="CE3A30C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931193"/>
    <w:multiLevelType w:val="hybridMultilevel"/>
    <w:tmpl w:val="B69E46D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3655F66"/>
    <w:multiLevelType w:val="hybridMultilevel"/>
    <w:tmpl w:val="34FC3854"/>
    <w:lvl w:ilvl="0" w:tplc="04050017">
      <w:start w:val="1"/>
      <w:numFmt w:val="lowerLetter"/>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AE0251"/>
    <w:multiLevelType w:val="hybridMultilevel"/>
    <w:tmpl w:val="27DC82E2"/>
    <w:lvl w:ilvl="0" w:tplc="DB363730">
      <w:start w:val="1"/>
      <w:numFmt w:val="bullet"/>
      <w:lvlText w:val="-"/>
      <w:lvlJc w:val="left"/>
      <w:pPr>
        <w:tabs>
          <w:tab w:val="num" w:pos="360"/>
        </w:tabs>
        <w:ind w:left="360" w:hanging="360"/>
      </w:pPr>
      <w:rPr>
        <w:rFonts w:ascii="Calibri" w:hAnsi="Calibri"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AAC27FB"/>
    <w:multiLevelType w:val="multilevel"/>
    <w:tmpl w:val="F846500E"/>
    <w:lvl w:ilvl="0">
      <w:start w:val="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4"/>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2020" w:hanging="108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850" w:hanging="144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680" w:hanging="1800"/>
      </w:pPr>
      <w:rPr>
        <w:rFonts w:hint="default"/>
      </w:rPr>
    </w:lvl>
  </w:abstractNum>
  <w:abstractNum w:abstractNumId="30" w15:restartNumberingAfterBreak="0">
    <w:nsid w:val="6AAF1A1F"/>
    <w:multiLevelType w:val="multilevel"/>
    <w:tmpl w:val="613CB384"/>
    <w:lvl w:ilvl="0">
      <w:start w:val="1"/>
      <w:numFmt w:val="decimal"/>
      <w:pStyle w:val="Textodstavce"/>
      <w:isLgl/>
      <w:lvlText w:val="(%1)"/>
      <w:lvlJc w:val="left"/>
      <w:pPr>
        <w:tabs>
          <w:tab w:val="num" w:pos="782"/>
        </w:tabs>
        <w:ind w:left="0"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2977"/>
        </w:tabs>
        <w:ind w:left="2977" w:hanging="425"/>
      </w:pPr>
      <w:rPr>
        <w:rFonts w:ascii="Times New Roman" w:eastAsia="Times New Roman" w:hAnsi="Times New Roman"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1" w15:restartNumberingAfterBreak="0">
    <w:nsid w:val="6BAB5D05"/>
    <w:multiLevelType w:val="hybridMultilevel"/>
    <w:tmpl w:val="C1708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AB3714"/>
    <w:multiLevelType w:val="hybridMultilevel"/>
    <w:tmpl w:val="95BA953C"/>
    <w:lvl w:ilvl="0" w:tplc="9158773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72EC20A2"/>
    <w:multiLevelType w:val="hybridMultilevel"/>
    <w:tmpl w:val="1090D5D2"/>
    <w:lvl w:ilvl="0" w:tplc="17CA1E9E">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34" w15:restartNumberingAfterBreak="0">
    <w:nsid w:val="72F97A38"/>
    <w:multiLevelType w:val="hybridMultilevel"/>
    <w:tmpl w:val="60725334"/>
    <w:lvl w:ilvl="0" w:tplc="8E0836D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816D75"/>
    <w:multiLevelType w:val="hybridMultilevel"/>
    <w:tmpl w:val="9A1486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611E62"/>
    <w:multiLevelType w:val="hybridMultilevel"/>
    <w:tmpl w:val="B2760E9E"/>
    <w:lvl w:ilvl="0" w:tplc="1480E944">
      <w:start w:val="1"/>
      <w:numFmt w:val="bullet"/>
      <w:lvlText w:val="•"/>
      <w:lvlJc w:val="left"/>
      <w:pPr>
        <w:tabs>
          <w:tab w:val="num" w:pos="720"/>
        </w:tabs>
        <w:ind w:left="720" w:hanging="360"/>
      </w:pPr>
      <w:rPr>
        <w:rFonts w:ascii="Arial" w:hAnsi="Arial" w:hint="default"/>
      </w:rPr>
    </w:lvl>
    <w:lvl w:ilvl="1" w:tplc="619899CE" w:tentative="1">
      <w:start w:val="1"/>
      <w:numFmt w:val="bullet"/>
      <w:lvlText w:val="•"/>
      <w:lvlJc w:val="left"/>
      <w:pPr>
        <w:tabs>
          <w:tab w:val="num" w:pos="1440"/>
        </w:tabs>
        <w:ind w:left="1440" w:hanging="360"/>
      </w:pPr>
      <w:rPr>
        <w:rFonts w:ascii="Arial" w:hAnsi="Arial" w:hint="default"/>
      </w:rPr>
    </w:lvl>
    <w:lvl w:ilvl="2" w:tplc="FB4A0F20" w:tentative="1">
      <w:start w:val="1"/>
      <w:numFmt w:val="bullet"/>
      <w:lvlText w:val="•"/>
      <w:lvlJc w:val="left"/>
      <w:pPr>
        <w:tabs>
          <w:tab w:val="num" w:pos="2160"/>
        </w:tabs>
        <w:ind w:left="2160" w:hanging="360"/>
      </w:pPr>
      <w:rPr>
        <w:rFonts w:ascii="Arial" w:hAnsi="Arial" w:hint="default"/>
      </w:rPr>
    </w:lvl>
    <w:lvl w:ilvl="3" w:tplc="9288182C" w:tentative="1">
      <w:start w:val="1"/>
      <w:numFmt w:val="bullet"/>
      <w:lvlText w:val="•"/>
      <w:lvlJc w:val="left"/>
      <w:pPr>
        <w:tabs>
          <w:tab w:val="num" w:pos="2880"/>
        </w:tabs>
        <w:ind w:left="2880" w:hanging="360"/>
      </w:pPr>
      <w:rPr>
        <w:rFonts w:ascii="Arial" w:hAnsi="Arial" w:hint="default"/>
      </w:rPr>
    </w:lvl>
    <w:lvl w:ilvl="4" w:tplc="C1404B52" w:tentative="1">
      <w:start w:val="1"/>
      <w:numFmt w:val="bullet"/>
      <w:lvlText w:val="•"/>
      <w:lvlJc w:val="left"/>
      <w:pPr>
        <w:tabs>
          <w:tab w:val="num" w:pos="3600"/>
        </w:tabs>
        <w:ind w:left="3600" w:hanging="360"/>
      </w:pPr>
      <w:rPr>
        <w:rFonts w:ascii="Arial" w:hAnsi="Arial" w:hint="default"/>
      </w:rPr>
    </w:lvl>
    <w:lvl w:ilvl="5" w:tplc="F60A6F48" w:tentative="1">
      <w:start w:val="1"/>
      <w:numFmt w:val="bullet"/>
      <w:lvlText w:val="•"/>
      <w:lvlJc w:val="left"/>
      <w:pPr>
        <w:tabs>
          <w:tab w:val="num" w:pos="4320"/>
        </w:tabs>
        <w:ind w:left="4320" w:hanging="360"/>
      </w:pPr>
      <w:rPr>
        <w:rFonts w:ascii="Arial" w:hAnsi="Arial" w:hint="default"/>
      </w:rPr>
    </w:lvl>
    <w:lvl w:ilvl="6" w:tplc="8CFC0D66" w:tentative="1">
      <w:start w:val="1"/>
      <w:numFmt w:val="bullet"/>
      <w:lvlText w:val="•"/>
      <w:lvlJc w:val="left"/>
      <w:pPr>
        <w:tabs>
          <w:tab w:val="num" w:pos="5040"/>
        </w:tabs>
        <w:ind w:left="5040" w:hanging="360"/>
      </w:pPr>
      <w:rPr>
        <w:rFonts w:ascii="Arial" w:hAnsi="Arial" w:hint="default"/>
      </w:rPr>
    </w:lvl>
    <w:lvl w:ilvl="7" w:tplc="5CEC5C84" w:tentative="1">
      <w:start w:val="1"/>
      <w:numFmt w:val="bullet"/>
      <w:lvlText w:val="•"/>
      <w:lvlJc w:val="left"/>
      <w:pPr>
        <w:tabs>
          <w:tab w:val="num" w:pos="5760"/>
        </w:tabs>
        <w:ind w:left="5760" w:hanging="360"/>
      </w:pPr>
      <w:rPr>
        <w:rFonts w:ascii="Arial" w:hAnsi="Arial" w:hint="default"/>
      </w:rPr>
    </w:lvl>
    <w:lvl w:ilvl="8" w:tplc="C97C120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ED46FEA"/>
    <w:multiLevelType w:val="hybridMultilevel"/>
    <w:tmpl w:val="8B6EA39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6"/>
  </w:num>
  <w:num w:numId="5">
    <w:abstractNumId w:val="4"/>
  </w:num>
  <w:num w:numId="6">
    <w:abstractNumId w:val="1"/>
  </w:num>
  <w:num w:numId="7">
    <w:abstractNumId w:val="17"/>
  </w:num>
  <w:num w:numId="8">
    <w:abstractNumId w:val="32"/>
  </w:num>
  <w:num w:numId="9">
    <w:abstractNumId w:val="21"/>
  </w:num>
  <w:num w:numId="10">
    <w:abstractNumId w:val="34"/>
  </w:num>
  <w:num w:numId="11">
    <w:abstractNumId w:val="13"/>
  </w:num>
  <w:num w:numId="12">
    <w:abstractNumId w:val="33"/>
  </w:num>
  <w:num w:numId="13">
    <w:abstractNumId w:val="9"/>
  </w:num>
  <w:num w:numId="14">
    <w:abstractNumId w:val="10"/>
  </w:num>
  <w:num w:numId="15">
    <w:abstractNumId w:val="28"/>
  </w:num>
  <w:num w:numId="16">
    <w:abstractNumId w:val="35"/>
  </w:num>
  <w:num w:numId="17">
    <w:abstractNumId w:val="37"/>
  </w:num>
  <w:num w:numId="18">
    <w:abstractNumId w:val="24"/>
  </w:num>
  <w:num w:numId="19">
    <w:abstractNumId w:val="15"/>
  </w:num>
  <w:num w:numId="20">
    <w:abstractNumId w:val="14"/>
  </w:num>
  <w:num w:numId="21">
    <w:abstractNumId w:val="26"/>
  </w:num>
  <w:num w:numId="22">
    <w:abstractNumId w:val="8"/>
  </w:num>
  <w:num w:numId="23">
    <w:abstractNumId w:val="19"/>
  </w:num>
  <w:num w:numId="24">
    <w:abstractNumId w:val="6"/>
  </w:num>
  <w:num w:numId="25">
    <w:abstractNumId w:val="20"/>
  </w:num>
  <w:num w:numId="26">
    <w:abstractNumId w:val="12"/>
  </w:num>
  <w:num w:numId="27">
    <w:abstractNumId w:val="27"/>
  </w:num>
  <w:num w:numId="28">
    <w:abstractNumId w:val="22"/>
  </w:num>
  <w:num w:numId="29">
    <w:abstractNumId w:val="2"/>
  </w:num>
  <w:num w:numId="30">
    <w:abstractNumId w:val="7"/>
  </w:num>
  <w:num w:numId="31">
    <w:abstractNumId w:val="36"/>
  </w:num>
  <w:num w:numId="32">
    <w:abstractNumId w:val="5"/>
  </w:num>
  <w:num w:numId="33">
    <w:abstractNumId w:val="18"/>
  </w:num>
  <w:num w:numId="34">
    <w:abstractNumId w:val="23"/>
  </w:num>
  <w:num w:numId="35">
    <w:abstractNumId w:val="29"/>
  </w:num>
  <w:num w:numId="36">
    <w:abstractNumId w:val="31"/>
  </w:num>
  <w:num w:numId="3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426"/>
    <w:rsid w:val="00000626"/>
    <w:rsid w:val="00000BB0"/>
    <w:rsid w:val="00001D61"/>
    <w:rsid w:val="000056F8"/>
    <w:rsid w:val="00006A93"/>
    <w:rsid w:val="0000796D"/>
    <w:rsid w:val="00007D76"/>
    <w:rsid w:val="00020B84"/>
    <w:rsid w:val="00021CBF"/>
    <w:rsid w:val="000255ED"/>
    <w:rsid w:val="000259D5"/>
    <w:rsid w:val="00027788"/>
    <w:rsid w:val="00030251"/>
    <w:rsid w:val="000319ED"/>
    <w:rsid w:val="00036143"/>
    <w:rsid w:val="00037BE2"/>
    <w:rsid w:val="000400EB"/>
    <w:rsid w:val="0004108D"/>
    <w:rsid w:val="00045EDE"/>
    <w:rsid w:val="00047016"/>
    <w:rsid w:val="0005085D"/>
    <w:rsid w:val="00050E89"/>
    <w:rsid w:val="00052837"/>
    <w:rsid w:val="00052FB6"/>
    <w:rsid w:val="0005350E"/>
    <w:rsid w:val="000563C8"/>
    <w:rsid w:val="000568E1"/>
    <w:rsid w:val="00057573"/>
    <w:rsid w:val="00061F2F"/>
    <w:rsid w:val="00065BCF"/>
    <w:rsid w:val="00067403"/>
    <w:rsid w:val="00067C2D"/>
    <w:rsid w:val="00072284"/>
    <w:rsid w:val="00073160"/>
    <w:rsid w:val="00075267"/>
    <w:rsid w:val="000755F5"/>
    <w:rsid w:val="0008020C"/>
    <w:rsid w:val="0008503E"/>
    <w:rsid w:val="00085695"/>
    <w:rsid w:val="00085E5E"/>
    <w:rsid w:val="0008704E"/>
    <w:rsid w:val="00087720"/>
    <w:rsid w:val="000878F9"/>
    <w:rsid w:val="000900D5"/>
    <w:rsid w:val="00090DBE"/>
    <w:rsid w:val="00091D51"/>
    <w:rsid w:val="00094D03"/>
    <w:rsid w:val="000A0D8F"/>
    <w:rsid w:val="000A108E"/>
    <w:rsid w:val="000A12AD"/>
    <w:rsid w:val="000A1F5A"/>
    <w:rsid w:val="000A36B4"/>
    <w:rsid w:val="000B1D6D"/>
    <w:rsid w:val="000B5235"/>
    <w:rsid w:val="000B5FBF"/>
    <w:rsid w:val="000C0044"/>
    <w:rsid w:val="000C32ED"/>
    <w:rsid w:val="000C3F77"/>
    <w:rsid w:val="000C4EB0"/>
    <w:rsid w:val="000C53AB"/>
    <w:rsid w:val="000C6425"/>
    <w:rsid w:val="000C7DDF"/>
    <w:rsid w:val="000D349A"/>
    <w:rsid w:val="000D3D26"/>
    <w:rsid w:val="000E0B75"/>
    <w:rsid w:val="000E1FF9"/>
    <w:rsid w:val="000E2068"/>
    <w:rsid w:val="000E461E"/>
    <w:rsid w:val="000E5201"/>
    <w:rsid w:val="000E72E8"/>
    <w:rsid w:val="000F10BE"/>
    <w:rsid w:val="000F6B97"/>
    <w:rsid w:val="000F6EEA"/>
    <w:rsid w:val="0010065A"/>
    <w:rsid w:val="00100A67"/>
    <w:rsid w:val="00112FD2"/>
    <w:rsid w:val="00114E8A"/>
    <w:rsid w:val="00116528"/>
    <w:rsid w:val="00116C24"/>
    <w:rsid w:val="00117745"/>
    <w:rsid w:val="00117F4B"/>
    <w:rsid w:val="001248FF"/>
    <w:rsid w:val="00130953"/>
    <w:rsid w:val="00130A9D"/>
    <w:rsid w:val="001326AC"/>
    <w:rsid w:val="0013334B"/>
    <w:rsid w:val="001354EB"/>
    <w:rsid w:val="00136812"/>
    <w:rsid w:val="001368DA"/>
    <w:rsid w:val="00137741"/>
    <w:rsid w:val="00140F58"/>
    <w:rsid w:val="00145279"/>
    <w:rsid w:val="00146CBA"/>
    <w:rsid w:val="00155FBE"/>
    <w:rsid w:val="0015634F"/>
    <w:rsid w:val="00156F17"/>
    <w:rsid w:val="001573E2"/>
    <w:rsid w:val="00162DD3"/>
    <w:rsid w:val="00165B31"/>
    <w:rsid w:val="00167E11"/>
    <w:rsid w:val="00175855"/>
    <w:rsid w:val="00176900"/>
    <w:rsid w:val="00181039"/>
    <w:rsid w:val="00182BA5"/>
    <w:rsid w:val="001846ED"/>
    <w:rsid w:val="001877D9"/>
    <w:rsid w:val="001904C4"/>
    <w:rsid w:val="00190D2D"/>
    <w:rsid w:val="00191024"/>
    <w:rsid w:val="00191116"/>
    <w:rsid w:val="0019199E"/>
    <w:rsid w:val="00192F04"/>
    <w:rsid w:val="0019406B"/>
    <w:rsid w:val="001A05D5"/>
    <w:rsid w:val="001A13B6"/>
    <w:rsid w:val="001A2A2A"/>
    <w:rsid w:val="001A5582"/>
    <w:rsid w:val="001A750A"/>
    <w:rsid w:val="001B01FA"/>
    <w:rsid w:val="001B07F5"/>
    <w:rsid w:val="001B1604"/>
    <w:rsid w:val="001B6109"/>
    <w:rsid w:val="001C06E4"/>
    <w:rsid w:val="001C15C1"/>
    <w:rsid w:val="001C2578"/>
    <w:rsid w:val="001C269D"/>
    <w:rsid w:val="001C5A0F"/>
    <w:rsid w:val="001C6914"/>
    <w:rsid w:val="001D0A76"/>
    <w:rsid w:val="001D17F4"/>
    <w:rsid w:val="001D1FAB"/>
    <w:rsid w:val="001D2B6C"/>
    <w:rsid w:val="001D5B00"/>
    <w:rsid w:val="001D5D94"/>
    <w:rsid w:val="001D7892"/>
    <w:rsid w:val="001E349E"/>
    <w:rsid w:val="001E5289"/>
    <w:rsid w:val="001F4EA7"/>
    <w:rsid w:val="001F602C"/>
    <w:rsid w:val="002021AC"/>
    <w:rsid w:val="002026F1"/>
    <w:rsid w:val="00202A87"/>
    <w:rsid w:val="00203291"/>
    <w:rsid w:val="00205D72"/>
    <w:rsid w:val="00211BAA"/>
    <w:rsid w:val="00213AEB"/>
    <w:rsid w:val="002172CA"/>
    <w:rsid w:val="00220BB2"/>
    <w:rsid w:val="00221514"/>
    <w:rsid w:val="00221D4C"/>
    <w:rsid w:val="0022468B"/>
    <w:rsid w:val="002332A1"/>
    <w:rsid w:val="00236F04"/>
    <w:rsid w:val="00237C94"/>
    <w:rsid w:val="002402BB"/>
    <w:rsid w:val="002424C1"/>
    <w:rsid w:val="002428B6"/>
    <w:rsid w:val="00244B0F"/>
    <w:rsid w:val="00245E2B"/>
    <w:rsid w:val="002479CF"/>
    <w:rsid w:val="00250D1C"/>
    <w:rsid w:val="002523A1"/>
    <w:rsid w:val="0025310F"/>
    <w:rsid w:val="002538C5"/>
    <w:rsid w:val="0026002F"/>
    <w:rsid w:val="00261D33"/>
    <w:rsid w:val="00265FF8"/>
    <w:rsid w:val="00267BC3"/>
    <w:rsid w:val="002717BE"/>
    <w:rsid w:val="00271B92"/>
    <w:rsid w:val="00277299"/>
    <w:rsid w:val="00283D0E"/>
    <w:rsid w:val="00283F1E"/>
    <w:rsid w:val="002853E5"/>
    <w:rsid w:val="0029065B"/>
    <w:rsid w:val="00294658"/>
    <w:rsid w:val="00294DB7"/>
    <w:rsid w:val="002951DB"/>
    <w:rsid w:val="00296CE6"/>
    <w:rsid w:val="002A1040"/>
    <w:rsid w:val="002A5D81"/>
    <w:rsid w:val="002B0191"/>
    <w:rsid w:val="002B3550"/>
    <w:rsid w:val="002B53AA"/>
    <w:rsid w:val="002B681F"/>
    <w:rsid w:val="002B7879"/>
    <w:rsid w:val="002C0CDE"/>
    <w:rsid w:val="002C34C2"/>
    <w:rsid w:val="002C654C"/>
    <w:rsid w:val="002D0FB7"/>
    <w:rsid w:val="002D2519"/>
    <w:rsid w:val="002D46FD"/>
    <w:rsid w:val="002D6DDF"/>
    <w:rsid w:val="002E01DD"/>
    <w:rsid w:val="002E0AA1"/>
    <w:rsid w:val="002E1198"/>
    <w:rsid w:val="002E1A33"/>
    <w:rsid w:val="002E32C2"/>
    <w:rsid w:val="002E4151"/>
    <w:rsid w:val="002E6036"/>
    <w:rsid w:val="002F25F7"/>
    <w:rsid w:val="002F2B2F"/>
    <w:rsid w:val="002F3B48"/>
    <w:rsid w:val="002F4DA8"/>
    <w:rsid w:val="002F545A"/>
    <w:rsid w:val="003004FF"/>
    <w:rsid w:val="003012A2"/>
    <w:rsid w:val="00302479"/>
    <w:rsid w:val="003027B6"/>
    <w:rsid w:val="003037EA"/>
    <w:rsid w:val="00306600"/>
    <w:rsid w:val="0031146E"/>
    <w:rsid w:val="003117CA"/>
    <w:rsid w:val="003203F4"/>
    <w:rsid w:val="00323A31"/>
    <w:rsid w:val="0032617C"/>
    <w:rsid w:val="003304EB"/>
    <w:rsid w:val="00330E4D"/>
    <w:rsid w:val="00331A01"/>
    <w:rsid w:val="003321CE"/>
    <w:rsid w:val="00333E41"/>
    <w:rsid w:val="00334D2F"/>
    <w:rsid w:val="0034053F"/>
    <w:rsid w:val="00342167"/>
    <w:rsid w:val="00347081"/>
    <w:rsid w:val="003513F9"/>
    <w:rsid w:val="00351DF7"/>
    <w:rsid w:val="00353B16"/>
    <w:rsid w:val="00354873"/>
    <w:rsid w:val="00357C31"/>
    <w:rsid w:val="0036200E"/>
    <w:rsid w:val="00364422"/>
    <w:rsid w:val="00364ACE"/>
    <w:rsid w:val="0036565D"/>
    <w:rsid w:val="003660AA"/>
    <w:rsid w:val="0036658B"/>
    <w:rsid w:val="00367A21"/>
    <w:rsid w:val="00367B0D"/>
    <w:rsid w:val="00370519"/>
    <w:rsid w:val="003723C5"/>
    <w:rsid w:val="003724EF"/>
    <w:rsid w:val="003729E4"/>
    <w:rsid w:val="00376339"/>
    <w:rsid w:val="003763F5"/>
    <w:rsid w:val="00376924"/>
    <w:rsid w:val="00380442"/>
    <w:rsid w:val="0038109B"/>
    <w:rsid w:val="00381497"/>
    <w:rsid w:val="00383AC7"/>
    <w:rsid w:val="00385EC5"/>
    <w:rsid w:val="0039001F"/>
    <w:rsid w:val="00391D15"/>
    <w:rsid w:val="00391EDE"/>
    <w:rsid w:val="00392936"/>
    <w:rsid w:val="003930CB"/>
    <w:rsid w:val="0039507C"/>
    <w:rsid w:val="00395718"/>
    <w:rsid w:val="003958E3"/>
    <w:rsid w:val="00395AA1"/>
    <w:rsid w:val="003A1001"/>
    <w:rsid w:val="003A23BA"/>
    <w:rsid w:val="003A4DAE"/>
    <w:rsid w:val="003A501D"/>
    <w:rsid w:val="003A7D5E"/>
    <w:rsid w:val="003B61A3"/>
    <w:rsid w:val="003B692D"/>
    <w:rsid w:val="003B7928"/>
    <w:rsid w:val="003C5466"/>
    <w:rsid w:val="003C5631"/>
    <w:rsid w:val="003C61E1"/>
    <w:rsid w:val="003D6D1A"/>
    <w:rsid w:val="003D715C"/>
    <w:rsid w:val="003E0AB8"/>
    <w:rsid w:val="003E13C8"/>
    <w:rsid w:val="003E179A"/>
    <w:rsid w:val="003E1B5B"/>
    <w:rsid w:val="003E478F"/>
    <w:rsid w:val="003F03CC"/>
    <w:rsid w:val="003F3E7B"/>
    <w:rsid w:val="003F473F"/>
    <w:rsid w:val="003F6EA2"/>
    <w:rsid w:val="004027CF"/>
    <w:rsid w:val="00403835"/>
    <w:rsid w:val="00405EE8"/>
    <w:rsid w:val="004132E3"/>
    <w:rsid w:val="004133BB"/>
    <w:rsid w:val="00413C57"/>
    <w:rsid w:val="00413D37"/>
    <w:rsid w:val="00414244"/>
    <w:rsid w:val="00420AB6"/>
    <w:rsid w:val="00421835"/>
    <w:rsid w:val="00422D70"/>
    <w:rsid w:val="00427B36"/>
    <w:rsid w:val="0043200E"/>
    <w:rsid w:val="004339AD"/>
    <w:rsid w:val="00437477"/>
    <w:rsid w:val="00440C6E"/>
    <w:rsid w:val="0044234C"/>
    <w:rsid w:val="004475D4"/>
    <w:rsid w:val="00447966"/>
    <w:rsid w:val="00452273"/>
    <w:rsid w:val="00454191"/>
    <w:rsid w:val="00454E0D"/>
    <w:rsid w:val="00454E18"/>
    <w:rsid w:val="00456FAF"/>
    <w:rsid w:val="00460374"/>
    <w:rsid w:val="00460C72"/>
    <w:rsid w:val="004613B7"/>
    <w:rsid w:val="004630AE"/>
    <w:rsid w:val="0046554C"/>
    <w:rsid w:val="00466006"/>
    <w:rsid w:val="004662DC"/>
    <w:rsid w:val="00466DF2"/>
    <w:rsid w:val="0047179D"/>
    <w:rsid w:val="00475CA8"/>
    <w:rsid w:val="00475FD3"/>
    <w:rsid w:val="00480F8B"/>
    <w:rsid w:val="00481A38"/>
    <w:rsid w:val="0048268B"/>
    <w:rsid w:val="00482F2B"/>
    <w:rsid w:val="0048341F"/>
    <w:rsid w:val="004834C4"/>
    <w:rsid w:val="00483526"/>
    <w:rsid w:val="00483CB7"/>
    <w:rsid w:val="00486475"/>
    <w:rsid w:val="00493CBE"/>
    <w:rsid w:val="004973B5"/>
    <w:rsid w:val="004A0523"/>
    <w:rsid w:val="004A2D13"/>
    <w:rsid w:val="004A4B15"/>
    <w:rsid w:val="004A6583"/>
    <w:rsid w:val="004B1E6F"/>
    <w:rsid w:val="004B21BB"/>
    <w:rsid w:val="004B509E"/>
    <w:rsid w:val="004C2294"/>
    <w:rsid w:val="004C5FAD"/>
    <w:rsid w:val="004C61FE"/>
    <w:rsid w:val="004D0F3B"/>
    <w:rsid w:val="004D45AB"/>
    <w:rsid w:val="004D56B7"/>
    <w:rsid w:val="004D65BA"/>
    <w:rsid w:val="004D73A6"/>
    <w:rsid w:val="004E29A7"/>
    <w:rsid w:val="004E2DB4"/>
    <w:rsid w:val="004E43A0"/>
    <w:rsid w:val="004E5F4A"/>
    <w:rsid w:val="004F04C3"/>
    <w:rsid w:val="004F0A29"/>
    <w:rsid w:val="004F32CF"/>
    <w:rsid w:val="004F46DF"/>
    <w:rsid w:val="004F5DFF"/>
    <w:rsid w:val="004F7827"/>
    <w:rsid w:val="00500349"/>
    <w:rsid w:val="005005DC"/>
    <w:rsid w:val="0050463B"/>
    <w:rsid w:val="00510633"/>
    <w:rsid w:val="00513D19"/>
    <w:rsid w:val="005148DD"/>
    <w:rsid w:val="00515FBE"/>
    <w:rsid w:val="00517AB9"/>
    <w:rsid w:val="00517E8C"/>
    <w:rsid w:val="005212C3"/>
    <w:rsid w:val="0052138A"/>
    <w:rsid w:val="0052365D"/>
    <w:rsid w:val="00524A73"/>
    <w:rsid w:val="005300F2"/>
    <w:rsid w:val="0053251F"/>
    <w:rsid w:val="005335A5"/>
    <w:rsid w:val="005342F5"/>
    <w:rsid w:val="00534940"/>
    <w:rsid w:val="0054052B"/>
    <w:rsid w:val="0054133F"/>
    <w:rsid w:val="00542803"/>
    <w:rsid w:val="00542A63"/>
    <w:rsid w:val="00545687"/>
    <w:rsid w:val="00546426"/>
    <w:rsid w:val="00546968"/>
    <w:rsid w:val="00546A69"/>
    <w:rsid w:val="00546EAE"/>
    <w:rsid w:val="005509B0"/>
    <w:rsid w:val="005542BA"/>
    <w:rsid w:val="00554386"/>
    <w:rsid w:val="00556E4F"/>
    <w:rsid w:val="00565B78"/>
    <w:rsid w:val="00566AAA"/>
    <w:rsid w:val="00567356"/>
    <w:rsid w:val="0056746E"/>
    <w:rsid w:val="00567686"/>
    <w:rsid w:val="00571216"/>
    <w:rsid w:val="005743D8"/>
    <w:rsid w:val="005750A3"/>
    <w:rsid w:val="005774E8"/>
    <w:rsid w:val="00582E7D"/>
    <w:rsid w:val="00584801"/>
    <w:rsid w:val="00590125"/>
    <w:rsid w:val="00590A1D"/>
    <w:rsid w:val="005925F2"/>
    <w:rsid w:val="0059361C"/>
    <w:rsid w:val="0059400F"/>
    <w:rsid w:val="005950D9"/>
    <w:rsid w:val="00596CC3"/>
    <w:rsid w:val="005A0880"/>
    <w:rsid w:val="005A11BE"/>
    <w:rsid w:val="005A22A5"/>
    <w:rsid w:val="005A29CB"/>
    <w:rsid w:val="005A3BAC"/>
    <w:rsid w:val="005A47FA"/>
    <w:rsid w:val="005A7548"/>
    <w:rsid w:val="005A7A40"/>
    <w:rsid w:val="005B32E9"/>
    <w:rsid w:val="005B6C3B"/>
    <w:rsid w:val="005C467B"/>
    <w:rsid w:val="005C57C3"/>
    <w:rsid w:val="005C5BB9"/>
    <w:rsid w:val="005C742A"/>
    <w:rsid w:val="005C783B"/>
    <w:rsid w:val="005D030C"/>
    <w:rsid w:val="005D0B05"/>
    <w:rsid w:val="005D13BC"/>
    <w:rsid w:val="005D2007"/>
    <w:rsid w:val="005D45A2"/>
    <w:rsid w:val="005D491B"/>
    <w:rsid w:val="005D758C"/>
    <w:rsid w:val="005E1149"/>
    <w:rsid w:val="005E3ABE"/>
    <w:rsid w:val="005E4D22"/>
    <w:rsid w:val="005F1AD4"/>
    <w:rsid w:val="005F2412"/>
    <w:rsid w:val="005F3007"/>
    <w:rsid w:val="005F307E"/>
    <w:rsid w:val="005F552F"/>
    <w:rsid w:val="005F6533"/>
    <w:rsid w:val="00603BC9"/>
    <w:rsid w:val="0060586A"/>
    <w:rsid w:val="00606050"/>
    <w:rsid w:val="006141CB"/>
    <w:rsid w:val="006165BB"/>
    <w:rsid w:val="00620691"/>
    <w:rsid w:val="00620EA0"/>
    <w:rsid w:val="0062199A"/>
    <w:rsid w:val="00622119"/>
    <w:rsid w:val="006229EC"/>
    <w:rsid w:val="0062417F"/>
    <w:rsid w:val="0062568B"/>
    <w:rsid w:val="006260BE"/>
    <w:rsid w:val="00633012"/>
    <w:rsid w:val="00633253"/>
    <w:rsid w:val="00633663"/>
    <w:rsid w:val="00633D5A"/>
    <w:rsid w:val="00634D37"/>
    <w:rsid w:val="00637A14"/>
    <w:rsid w:val="00637FE9"/>
    <w:rsid w:val="00642CB9"/>
    <w:rsid w:val="0064343A"/>
    <w:rsid w:val="00646620"/>
    <w:rsid w:val="00647830"/>
    <w:rsid w:val="0065353A"/>
    <w:rsid w:val="0065472B"/>
    <w:rsid w:val="0065574D"/>
    <w:rsid w:val="00657D97"/>
    <w:rsid w:val="0066599D"/>
    <w:rsid w:val="00665C2D"/>
    <w:rsid w:val="00666273"/>
    <w:rsid w:val="00667D74"/>
    <w:rsid w:val="00671C0B"/>
    <w:rsid w:val="00673437"/>
    <w:rsid w:val="0067555E"/>
    <w:rsid w:val="00677842"/>
    <w:rsid w:val="00677D0F"/>
    <w:rsid w:val="0068086B"/>
    <w:rsid w:val="00682176"/>
    <w:rsid w:val="0068724C"/>
    <w:rsid w:val="006914C6"/>
    <w:rsid w:val="00691589"/>
    <w:rsid w:val="00692820"/>
    <w:rsid w:val="00693389"/>
    <w:rsid w:val="00695380"/>
    <w:rsid w:val="00695500"/>
    <w:rsid w:val="006A1E1B"/>
    <w:rsid w:val="006A2827"/>
    <w:rsid w:val="006A4DAB"/>
    <w:rsid w:val="006A79F9"/>
    <w:rsid w:val="006B1494"/>
    <w:rsid w:val="006B3B19"/>
    <w:rsid w:val="006B41DD"/>
    <w:rsid w:val="006C0B22"/>
    <w:rsid w:val="006C35C5"/>
    <w:rsid w:val="006C68C7"/>
    <w:rsid w:val="006D02DD"/>
    <w:rsid w:val="006D5788"/>
    <w:rsid w:val="006E0D7C"/>
    <w:rsid w:val="006E19B2"/>
    <w:rsid w:val="006E283C"/>
    <w:rsid w:val="006E2B6D"/>
    <w:rsid w:val="006E7529"/>
    <w:rsid w:val="006F004A"/>
    <w:rsid w:val="006F2F55"/>
    <w:rsid w:val="006F3699"/>
    <w:rsid w:val="006F5856"/>
    <w:rsid w:val="006F6423"/>
    <w:rsid w:val="006F68A6"/>
    <w:rsid w:val="007014EC"/>
    <w:rsid w:val="00703B63"/>
    <w:rsid w:val="007069C8"/>
    <w:rsid w:val="00713A05"/>
    <w:rsid w:val="007169B1"/>
    <w:rsid w:val="00717EAD"/>
    <w:rsid w:val="00722F24"/>
    <w:rsid w:val="0072377D"/>
    <w:rsid w:val="00723848"/>
    <w:rsid w:val="00723DBD"/>
    <w:rsid w:val="0072791C"/>
    <w:rsid w:val="0073126C"/>
    <w:rsid w:val="00731FC2"/>
    <w:rsid w:val="007346AD"/>
    <w:rsid w:val="00734A00"/>
    <w:rsid w:val="00736C01"/>
    <w:rsid w:val="00737FD2"/>
    <w:rsid w:val="007406D5"/>
    <w:rsid w:val="007411A2"/>
    <w:rsid w:val="00741828"/>
    <w:rsid w:val="007448F9"/>
    <w:rsid w:val="00745962"/>
    <w:rsid w:val="00745E9B"/>
    <w:rsid w:val="007476F7"/>
    <w:rsid w:val="00757F2C"/>
    <w:rsid w:val="00761D66"/>
    <w:rsid w:val="00762274"/>
    <w:rsid w:val="00763A57"/>
    <w:rsid w:val="0076519E"/>
    <w:rsid w:val="00766167"/>
    <w:rsid w:val="00766394"/>
    <w:rsid w:val="007663F8"/>
    <w:rsid w:val="00766E3C"/>
    <w:rsid w:val="007709B7"/>
    <w:rsid w:val="00770D4D"/>
    <w:rsid w:val="007728BE"/>
    <w:rsid w:val="007760F3"/>
    <w:rsid w:val="0077643C"/>
    <w:rsid w:val="00776894"/>
    <w:rsid w:val="007777E2"/>
    <w:rsid w:val="00777926"/>
    <w:rsid w:val="00781292"/>
    <w:rsid w:val="00782C06"/>
    <w:rsid w:val="00784AEC"/>
    <w:rsid w:val="00784CA7"/>
    <w:rsid w:val="00785D0B"/>
    <w:rsid w:val="0079286B"/>
    <w:rsid w:val="00793F20"/>
    <w:rsid w:val="0079745B"/>
    <w:rsid w:val="00797808"/>
    <w:rsid w:val="007A3B6A"/>
    <w:rsid w:val="007A66DB"/>
    <w:rsid w:val="007B0F56"/>
    <w:rsid w:val="007B0F9B"/>
    <w:rsid w:val="007B3BF1"/>
    <w:rsid w:val="007B65DB"/>
    <w:rsid w:val="007C21E4"/>
    <w:rsid w:val="007C2758"/>
    <w:rsid w:val="007C2FB1"/>
    <w:rsid w:val="007C68BA"/>
    <w:rsid w:val="007C6CC3"/>
    <w:rsid w:val="007D4A60"/>
    <w:rsid w:val="007D5183"/>
    <w:rsid w:val="007D63A5"/>
    <w:rsid w:val="007D7E42"/>
    <w:rsid w:val="007E4906"/>
    <w:rsid w:val="007E611D"/>
    <w:rsid w:val="007E692B"/>
    <w:rsid w:val="007E7983"/>
    <w:rsid w:val="007F0AC0"/>
    <w:rsid w:val="007F1D57"/>
    <w:rsid w:val="007F3565"/>
    <w:rsid w:val="007F49F4"/>
    <w:rsid w:val="007F4D37"/>
    <w:rsid w:val="007F5D84"/>
    <w:rsid w:val="007F7C67"/>
    <w:rsid w:val="008048C5"/>
    <w:rsid w:val="00804C51"/>
    <w:rsid w:val="00805EE0"/>
    <w:rsid w:val="008076AC"/>
    <w:rsid w:val="0081044B"/>
    <w:rsid w:val="008108F9"/>
    <w:rsid w:val="00811A47"/>
    <w:rsid w:val="00812BEF"/>
    <w:rsid w:val="00814B17"/>
    <w:rsid w:val="00814E58"/>
    <w:rsid w:val="00817874"/>
    <w:rsid w:val="008215B7"/>
    <w:rsid w:val="0082188D"/>
    <w:rsid w:val="008219F6"/>
    <w:rsid w:val="00823312"/>
    <w:rsid w:val="00824DAC"/>
    <w:rsid w:val="0082725A"/>
    <w:rsid w:val="00835F03"/>
    <w:rsid w:val="008377B2"/>
    <w:rsid w:val="00842EAE"/>
    <w:rsid w:val="00847C79"/>
    <w:rsid w:val="00847DEA"/>
    <w:rsid w:val="00847F9B"/>
    <w:rsid w:val="00851184"/>
    <w:rsid w:val="008536CD"/>
    <w:rsid w:val="008554CA"/>
    <w:rsid w:val="00856C39"/>
    <w:rsid w:val="0085758A"/>
    <w:rsid w:val="00857924"/>
    <w:rsid w:val="008610C5"/>
    <w:rsid w:val="00862C47"/>
    <w:rsid w:val="0086366F"/>
    <w:rsid w:val="008667C4"/>
    <w:rsid w:val="00867515"/>
    <w:rsid w:val="00870A05"/>
    <w:rsid w:val="00876F41"/>
    <w:rsid w:val="00880513"/>
    <w:rsid w:val="00880995"/>
    <w:rsid w:val="0088152C"/>
    <w:rsid w:val="00885D84"/>
    <w:rsid w:val="00886301"/>
    <w:rsid w:val="00897070"/>
    <w:rsid w:val="008974D5"/>
    <w:rsid w:val="008A0B7A"/>
    <w:rsid w:val="008A139B"/>
    <w:rsid w:val="008A366C"/>
    <w:rsid w:val="008A3EDE"/>
    <w:rsid w:val="008A66CA"/>
    <w:rsid w:val="008A70ED"/>
    <w:rsid w:val="008B1520"/>
    <w:rsid w:val="008B3265"/>
    <w:rsid w:val="008B4986"/>
    <w:rsid w:val="008C1365"/>
    <w:rsid w:val="008C22A8"/>
    <w:rsid w:val="008C299F"/>
    <w:rsid w:val="008C33C4"/>
    <w:rsid w:val="008C3BAB"/>
    <w:rsid w:val="008D1DDB"/>
    <w:rsid w:val="008D57C2"/>
    <w:rsid w:val="008D5FE8"/>
    <w:rsid w:val="008D676E"/>
    <w:rsid w:val="008D6A95"/>
    <w:rsid w:val="008D7FD4"/>
    <w:rsid w:val="008E06A2"/>
    <w:rsid w:val="008E1AD6"/>
    <w:rsid w:val="008E7091"/>
    <w:rsid w:val="008F6A7F"/>
    <w:rsid w:val="009020C8"/>
    <w:rsid w:val="009025E1"/>
    <w:rsid w:val="009030C8"/>
    <w:rsid w:val="00903E33"/>
    <w:rsid w:val="009118B6"/>
    <w:rsid w:val="00913540"/>
    <w:rsid w:val="009144E2"/>
    <w:rsid w:val="00914DAA"/>
    <w:rsid w:val="00916076"/>
    <w:rsid w:val="00916D93"/>
    <w:rsid w:val="00920AB4"/>
    <w:rsid w:val="00922A13"/>
    <w:rsid w:val="00924038"/>
    <w:rsid w:val="0092603E"/>
    <w:rsid w:val="00927754"/>
    <w:rsid w:val="009300AD"/>
    <w:rsid w:val="00930614"/>
    <w:rsid w:val="00935026"/>
    <w:rsid w:val="0093586C"/>
    <w:rsid w:val="00935FB5"/>
    <w:rsid w:val="009360B7"/>
    <w:rsid w:val="00936760"/>
    <w:rsid w:val="00937FDD"/>
    <w:rsid w:val="009409DD"/>
    <w:rsid w:val="00940BDC"/>
    <w:rsid w:val="00942D30"/>
    <w:rsid w:val="00943D99"/>
    <w:rsid w:val="009476D1"/>
    <w:rsid w:val="009503D6"/>
    <w:rsid w:val="00951156"/>
    <w:rsid w:val="00951B59"/>
    <w:rsid w:val="00952631"/>
    <w:rsid w:val="00952D8B"/>
    <w:rsid w:val="00960C54"/>
    <w:rsid w:val="009611C0"/>
    <w:rsid w:val="0096151A"/>
    <w:rsid w:val="00963D37"/>
    <w:rsid w:val="0097123F"/>
    <w:rsid w:val="00971380"/>
    <w:rsid w:val="0097230D"/>
    <w:rsid w:val="00972E33"/>
    <w:rsid w:val="009746B8"/>
    <w:rsid w:val="00977F9B"/>
    <w:rsid w:val="0098349E"/>
    <w:rsid w:val="009841A5"/>
    <w:rsid w:val="009845D6"/>
    <w:rsid w:val="009846C6"/>
    <w:rsid w:val="00986328"/>
    <w:rsid w:val="00987026"/>
    <w:rsid w:val="00987B96"/>
    <w:rsid w:val="009906D9"/>
    <w:rsid w:val="00991756"/>
    <w:rsid w:val="00991DE4"/>
    <w:rsid w:val="00992607"/>
    <w:rsid w:val="00994392"/>
    <w:rsid w:val="0099499C"/>
    <w:rsid w:val="00994D62"/>
    <w:rsid w:val="009970BF"/>
    <w:rsid w:val="009A3D20"/>
    <w:rsid w:val="009A4FAC"/>
    <w:rsid w:val="009B151F"/>
    <w:rsid w:val="009B1668"/>
    <w:rsid w:val="009B1B61"/>
    <w:rsid w:val="009B6456"/>
    <w:rsid w:val="009B6F63"/>
    <w:rsid w:val="009C135B"/>
    <w:rsid w:val="009C5EC2"/>
    <w:rsid w:val="009C6A08"/>
    <w:rsid w:val="009C70F9"/>
    <w:rsid w:val="009D15C3"/>
    <w:rsid w:val="009D22F1"/>
    <w:rsid w:val="009D3C00"/>
    <w:rsid w:val="009D4F0C"/>
    <w:rsid w:val="009D5BDD"/>
    <w:rsid w:val="009E199E"/>
    <w:rsid w:val="009E2396"/>
    <w:rsid w:val="009E49FA"/>
    <w:rsid w:val="009E7225"/>
    <w:rsid w:val="009E731A"/>
    <w:rsid w:val="009F3FEB"/>
    <w:rsid w:val="009F6BB2"/>
    <w:rsid w:val="00A01D9B"/>
    <w:rsid w:val="00A01E25"/>
    <w:rsid w:val="00A0755A"/>
    <w:rsid w:val="00A12CD5"/>
    <w:rsid w:val="00A2434A"/>
    <w:rsid w:val="00A2617D"/>
    <w:rsid w:val="00A268F1"/>
    <w:rsid w:val="00A27A77"/>
    <w:rsid w:val="00A317FD"/>
    <w:rsid w:val="00A35569"/>
    <w:rsid w:val="00A356D9"/>
    <w:rsid w:val="00A358EE"/>
    <w:rsid w:val="00A35948"/>
    <w:rsid w:val="00A36D9A"/>
    <w:rsid w:val="00A37ECA"/>
    <w:rsid w:val="00A405A0"/>
    <w:rsid w:val="00A42A90"/>
    <w:rsid w:val="00A4309D"/>
    <w:rsid w:val="00A447E2"/>
    <w:rsid w:val="00A45E54"/>
    <w:rsid w:val="00A460CC"/>
    <w:rsid w:val="00A5488A"/>
    <w:rsid w:val="00A571FE"/>
    <w:rsid w:val="00A57B4C"/>
    <w:rsid w:val="00A60AFB"/>
    <w:rsid w:val="00A650DC"/>
    <w:rsid w:val="00A7049C"/>
    <w:rsid w:val="00A70503"/>
    <w:rsid w:val="00A70A82"/>
    <w:rsid w:val="00A726A1"/>
    <w:rsid w:val="00A73A14"/>
    <w:rsid w:val="00A75318"/>
    <w:rsid w:val="00A75FE4"/>
    <w:rsid w:val="00A76408"/>
    <w:rsid w:val="00A805E6"/>
    <w:rsid w:val="00A8230B"/>
    <w:rsid w:val="00A86DE4"/>
    <w:rsid w:val="00A916AC"/>
    <w:rsid w:val="00A92AF6"/>
    <w:rsid w:val="00A938D4"/>
    <w:rsid w:val="00A94246"/>
    <w:rsid w:val="00A94560"/>
    <w:rsid w:val="00A95C6D"/>
    <w:rsid w:val="00AA062A"/>
    <w:rsid w:val="00AA06FB"/>
    <w:rsid w:val="00AA082D"/>
    <w:rsid w:val="00AA1DFB"/>
    <w:rsid w:val="00AA2559"/>
    <w:rsid w:val="00AA3F26"/>
    <w:rsid w:val="00AA411D"/>
    <w:rsid w:val="00AA5293"/>
    <w:rsid w:val="00AA5CAA"/>
    <w:rsid w:val="00AA66B4"/>
    <w:rsid w:val="00AB04E6"/>
    <w:rsid w:val="00AB58B4"/>
    <w:rsid w:val="00AB7A44"/>
    <w:rsid w:val="00AC15E9"/>
    <w:rsid w:val="00AC251F"/>
    <w:rsid w:val="00AC2E05"/>
    <w:rsid w:val="00AC4486"/>
    <w:rsid w:val="00AD05E9"/>
    <w:rsid w:val="00AD34A6"/>
    <w:rsid w:val="00AD34F7"/>
    <w:rsid w:val="00AD5138"/>
    <w:rsid w:val="00AD56EA"/>
    <w:rsid w:val="00AD5858"/>
    <w:rsid w:val="00AE0678"/>
    <w:rsid w:val="00AE2689"/>
    <w:rsid w:val="00AE7971"/>
    <w:rsid w:val="00AF0E08"/>
    <w:rsid w:val="00AF1A89"/>
    <w:rsid w:val="00AF5581"/>
    <w:rsid w:val="00AF648F"/>
    <w:rsid w:val="00B01AB6"/>
    <w:rsid w:val="00B03B18"/>
    <w:rsid w:val="00B03E08"/>
    <w:rsid w:val="00B05BE4"/>
    <w:rsid w:val="00B13C43"/>
    <w:rsid w:val="00B14A53"/>
    <w:rsid w:val="00B20260"/>
    <w:rsid w:val="00B204A4"/>
    <w:rsid w:val="00B22B66"/>
    <w:rsid w:val="00B23978"/>
    <w:rsid w:val="00B23F1B"/>
    <w:rsid w:val="00B248CE"/>
    <w:rsid w:val="00B255C3"/>
    <w:rsid w:val="00B30A93"/>
    <w:rsid w:val="00B30DBA"/>
    <w:rsid w:val="00B34DE5"/>
    <w:rsid w:val="00B401E3"/>
    <w:rsid w:val="00B41902"/>
    <w:rsid w:val="00B4245F"/>
    <w:rsid w:val="00B43012"/>
    <w:rsid w:val="00B4332D"/>
    <w:rsid w:val="00B438E6"/>
    <w:rsid w:val="00B472A1"/>
    <w:rsid w:val="00B529B5"/>
    <w:rsid w:val="00B54820"/>
    <w:rsid w:val="00B558B8"/>
    <w:rsid w:val="00B579E7"/>
    <w:rsid w:val="00B616A8"/>
    <w:rsid w:val="00B648B1"/>
    <w:rsid w:val="00B67830"/>
    <w:rsid w:val="00B67B10"/>
    <w:rsid w:val="00B7095D"/>
    <w:rsid w:val="00B719FC"/>
    <w:rsid w:val="00B72A24"/>
    <w:rsid w:val="00B74FE9"/>
    <w:rsid w:val="00B754DC"/>
    <w:rsid w:val="00B77302"/>
    <w:rsid w:val="00B77766"/>
    <w:rsid w:val="00B77989"/>
    <w:rsid w:val="00B8024A"/>
    <w:rsid w:val="00B83BCA"/>
    <w:rsid w:val="00B87840"/>
    <w:rsid w:val="00B91A3D"/>
    <w:rsid w:val="00B9294D"/>
    <w:rsid w:val="00B96111"/>
    <w:rsid w:val="00B97B6E"/>
    <w:rsid w:val="00B97CDA"/>
    <w:rsid w:val="00BA0B2C"/>
    <w:rsid w:val="00BA3F54"/>
    <w:rsid w:val="00BA484C"/>
    <w:rsid w:val="00BA52ED"/>
    <w:rsid w:val="00BA6FE8"/>
    <w:rsid w:val="00BB00E4"/>
    <w:rsid w:val="00BB0317"/>
    <w:rsid w:val="00BB51F6"/>
    <w:rsid w:val="00BB5458"/>
    <w:rsid w:val="00BC21D7"/>
    <w:rsid w:val="00BC6B69"/>
    <w:rsid w:val="00BC7D43"/>
    <w:rsid w:val="00BD1186"/>
    <w:rsid w:val="00BD1C98"/>
    <w:rsid w:val="00BE5BAA"/>
    <w:rsid w:val="00BE7F39"/>
    <w:rsid w:val="00BF0178"/>
    <w:rsid w:val="00BF0CA6"/>
    <w:rsid w:val="00BF24D4"/>
    <w:rsid w:val="00BF2FC1"/>
    <w:rsid w:val="00BF3235"/>
    <w:rsid w:val="00BF432D"/>
    <w:rsid w:val="00C000A8"/>
    <w:rsid w:val="00C02F9B"/>
    <w:rsid w:val="00C052EF"/>
    <w:rsid w:val="00C0616F"/>
    <w:rsid w:val="00C07782"/>
    <w:rsid w:val="00C10434"/>
    <w:rsid w:val="00C111E1"/>
    <w:rsid w:val="00C11C9D"/>
    <w:rsid w:val="00C15E6F"/>
    <w:rsid w:val="00C208C0"/>
    <w:rsid w:val="00C237FC"/>
    <w:rsid w:val="00C242FA"/>
    <w:rsid w:val="00C31231"/>
    <w:rsid w:val="00C33DF6"/>
    <w:rsid w:val="00C363FD"/>
    <w:rsid w:val="00C37AA2"/>
    <w:rsid w:val="00C44B88"/>
    <w:rsid w:val="00C4614D"/>
    <w:rsid w:val="00C47688"/>
    <w:rsid w:val="00C503CA"/>
    <w:rsid w:val="00C52DD4"/>
    <w:rsid w:val="00C52DDC"/>
    <w:rsid w:val="00C5451D"/>
    <w:rsid w:val="00C566FD"/>
    <w:rsid w:val="00C57364"/>
    <w:rsid w:val="00C57541"/>
    <w:rsid w:val="00C62435"/>
    <w:rsid w:val="00C63A2D"/>
    <w:rsid w:val="00C63CE6"/>
    <w:rsid w:val="00C6475F"/>
    <w:rsid w:val="00C65CB9"/>
    <w:rsid w:val="00C665C9"/>
    <w:rsid w:val="00C70D6A"/>
    <w:rsid w:val="00C71912"/>
    <w:rsid w:val="00C73160"/>
    <w:rsid w:val="00C75011"/>
    <w:rsid w:val="00C77CC2"/>
    <w:rsid w:val="00C81D42"/>
    <w:rsid w:val="00C82731"/>
    <w:rsid w:val="00C85029"/>
    <w:rsid w:val="00C919ED"/>
    <w:rsid w:val="00C923A3"/>
    <w:rsid w:val="00C942D8"/>
    <w:rsid w:val="00C96943"/>
    <w:rsid w:val="00C9736E"/>
    <w:rsid w:val="00CA289D"/>
    <w:rsid w:val="00CA4B72"/>
    <w:rsid w:val="00CA5950"/>
    <w:rsid w:val="00CA7D12"/>
    <w:rsid w:val="00CB0304"/>
    <w:rsid w:val="00CB4F50"/>
    <w:rsid w:val="00CB574B"/>
    <w:rsid w:val="00CB59DB"/>
    <w:rsid w:val="00CC0568"/>
    <w:rsid w:val="00CC326B"/>
    <w:rsid w:val="00CC4AD6"/>
    <w:rsid w:val="00CC63D0"/>
    <w:rsid w:val="00CC6718"/>
    <w:rsid w:val="00CC782B"/>
    <w:rsid w:val="00CD49C3"/>
    <w:rsid w:val="00CD5760"/>
    <w:rsid w:val="00CE028B"/>
    <w:rsid w:val="00CE13EC"/>
    <w:rsid w:val="00CE4B8E"/>
    <w:rsid w:val="00CF11FF"/>
    <w:rsid w:val="00CF2208"/>
    <w:rsid w:val="00CF2AC9"/>
    <w:rsid w:val="00D01F8C"/>
    <w:rsid w:val="00D0485F"/>
    <w:rsid w:val="00D05094"/>
    <w:rsid w:val="00D12B88"/>
    <w:rsid w:val="00D178E6"/>
    <w:rsid w:val="00D22DCB"/>
    <w:rsid w:val="00D27819"/>
    <w:rsid w:val="00D30094"/>
    <w:rsid w:val="00D31EE3"/>
    <w:rsid w:val="00D329A8"/>
    <w:rsid w:val="00D3428D"/>
    <w:rsid w:val="00D34A5A"/>
    <w:rsid w:val="00D36356"/>
    <w:rsid w:val="00D41321"/>
    <w:rsid w:val="00D41B3D"/>
    <w:rsid w:val="00D470F7"/>
    <w:rsid w:val="00D471F7"/>
    <w:rsid w:val="00D51029"/>
    <w:rsid w:val="00D5237F"/>
    <w:rsid w:val="00D52F7D"/>
    <w:rsid w:val="00D548C0"/>
    <w:rsid w:val="00D54F79"/>
    <w:rsid w:val="00D55A33"/>
    <w:rsid w:val="00D60797"/>
    <w:rsid w:val="00D60A2E"/>
    <w:rsid w:val="00D613A1"/>
    <w:rsid w:val="00D648A0"/>
    <w:rsid w:val="00D67692"/>
    <w:rsid w:val="00D72598"/>
    <w:rsid w:val="00D730C9"/>
    <w:rsid w:val="00D7624D"/>
    <w:rsid w:val="00D77FA7"/>
    <w:rsid w:val="00D80061"/>
    <w:rsid w:val="00D821BF"/>
    <w:rsid w:val="00D82A28"/>
    <w:rsid w:val="00D82EC5"/>
    <w:rsid w:val="00D83386"/>
    <w:rsid w:val="00D8516F"/>
    <w:rsid w:val="00D85F25"/>
    <w:rsid w:val="00D87E1C"/>
    <w:rsid w:val="00D90335"/>
    <w:rsid w:val="00D909F2"/>
    <w:rsid w:val="00D92F47"/>
    <w:rsid w:val="00D92FAA"/>
    <w:rsid w:val="00DA00FA"/>
    <w:rsid w:val="00DA27DA"/>
    <w:rsid w:val="00DB05BF"/>
    <w:rsid w:val="00DB061B"/>
    <w:rsid w:val="00DB2B5A"/>
    <w:rsid w:val="00DB5BCA"/>
    <w:rsid w:val="00DB7F51"/>
    <w:rsid w:val="00DC0727"/>
    <w:rsid w:val="00DC27C5"/>
    <w:rsid w:val="00DD3A2E"/>
    <w:rsid w:val="00DD415D"/>
    <w:rsid w:val="00DD5E4D"/>
    <w:rsid w:val="00DD6234"/>
    <w:rsid w:val="00DD6F4C"/>
    <w:rsid w:val="00DE064B"/>
    <w:rsid w:val="00DE55D5"/>
    <w:rsid w:val="00DE7345"/>
    <w:rsid w:val="00DF75F6"/>
    <w:rsid w:val="00E00805"/>
    <w:rsid w:val="00E03800"/>
    <w:rsid w:val="00E03D59"/>
    <w:rsid w:val="00E04FE9"/>
    <w:rsid w:val="00E07798"/>
    <w:rsid w:val="00E1163E"/>
    <w:rsid w:val="00E1207A"/>
    <w:rsid w:val="00E1311F"/>
    <w:rsid w:val="00E13181"/>
    <w:rsid w:val="00E15B7A"/>
    <w:rsid w:val="00E25438"/>
    <w:rsid w:val="00E2689A"/>
    <w:rsid w:val="00E27775"/>
    <w:rsid w:val="00E30212"/>
    <w:rsid w:val="00E3098C"/>
    <w:rsid w:val="00E316B0"/>
    <w:rsid w:val="00E321E4"/>
    <w:rsid w:val="00E34364"/>
    <w:rsid w:val="00E34779"/>
    <w:rsid w:val="00E35892"/>
    <w:rsid w:val="00E35F29"/>
    <w:rsid w:val="00E37DF5"/>
    <w:rsid w:val="00E4044A"/>
    <w:rsid w:val="00E411B3"/>
    <w:rsid w:val="00E428E1"/>
    <w:rsid w:val="00E46E79"/>
    <w:rsid w:val="00E53AD8"/>
    <w:rsid w:val="00E553CD"/>
    <w:rsid w:val="00E55F92"/>
    <w:rsid w:val="00E60C0E"/>
    <w:rsid w:val="00E622CE"/>
    <w:rsid w:val="00E6411D"/>
    <w:rsid w:val="00E6786C"/>
    <w:rsid w:val="00E735CE"/>
    <w:rsid w:val="00E739F6"/>
    <w:rsid w:val="00E73BC2"/>
    <w:rsid w:val="00E82072"/>
    <w:rsid w:val="00E84AB0"/>
    <w:rsid w:val="00E862D6"/>
    <w:rsid w:val="00E94C65"/>
    <w:rsid w:val="00E95636"/>
    <w:rsid w:val="00E9771D"/>
    <w:rsid w:val="00EA1C61"/>
    <w:rsid w:val="00EA255C"/>
    <w:rsid w:val="00EA2BEB"/>
    <w:rsid w:val="00EA54E2"/>
    <w:rsid w:val="00EA6237"/>
    <w:rsid w:val="00EA67F5"/>
    <w:rsid w:val="00EB2760"/>
    <w:rsid w:val="00EB3E96"/>
    <w:rsid w:val="00EB4635"/>
    <w:rsid w:val="00EB5F30"/>
    <w:rsid w:val="00EB61B8"/>
    <w:rsid w:val="00EB7F29"/>
    <w:rsid w:val="00EC00A4"/>
    <w:rsid w:val="00EC0C0E"/>
    <w:rsid w:val="00EC217E"/>
    <w:rsid w:val="00EC501B"/>
    <w:rsid w:val="00EC560E"/>
    <w:rsid w:val="00ED13BA"/>
    <w:rsid w:val="00ED1B5F"/>
    <w:rsid w:val="00ED1E3E"/>
    <w:rsid w:val="00ED2B5F"/>
    <w:rsid w:val="00ED4075"/>
    <w:rsid w:val="00ED668E"/>
    <w:rsid w:val="00ED6705"/>
    <w:rsid w:val="00EE180A"/>
    <w:rsid w:val="00EE4568"/>
    <w:rsid w:val="00EE4C21"/>
    <w:rsid w:val="00EE4CB7"/>
    <w:rsid w:val="00EF0D44"/>
    <w:rsid w:val="00EF27EE"/>
    <w:rsid w:val="00EF4DB4"/>
    <w:rsid w:val="00EF4E44"/>
    <w:rsid w:val="00EF5C4B"/>
    <w:rsid w:val="00EF5FC4"/>
    <w:rsid w:val="00F0009D"/>
    <w:rsid w:val="00F00F06"/>
    <w:rsid w:val="00F01E8A"/>
    <w:rsid w:val="00F0217D"/>
    <w:rsid w:val="00F02762"/>
    <w:rsid w:val="00F02F41"/>
    <w:rsid w:val="00F03977"/>
    <w:rsid w:val="00F05811"/>
    <w:rsid w:val="00F064D0"/>
    <w:rsid w:val="00F070B0"/>
    <w:rsid w:val="00F072D4"/>
    <w:rsid w:val="00F1074F"/>
    <w:rsid w:val="00F14E58"/>
    <w:rsid w:val="00F156F3"/>
    <w:rsid w:val="00F2699D"/>
    <w:rsid w:val="00F27D1A"/>
    <w:rsid w:val="00F30F8E"/>
    <w:rsid w:val="00F32A24"/>
    <w:rsid w:val="00F32B13"/>
    <w:rsid w:val="00F32CAF"/>
    <w:rsid w:val="00F33DB7"/>
    <w:rsid w:val="00F34DB2"/>
    <w:rsid w:val="00F34DE7"/>
    <w:rsid w:val="00F35126"/>
    <w:rsid w:val="00F35267"/>
    <w:rsid w:val="00F36A31"/>
    <w:rsid w:val="00F37C8D"/>
    <w:rsid w:val="00F434D2"/>
    <w:rsid w:val="00F45ABF"/>
    <w:rsid w:val="00F46C4D"/>
    <w:rsid w:val="00F47E9A"/>
    <w:rsid w:val="00F52AC6"/>
    <w:rsid w:val="00F57F5A"/>
    <w:rsid w:val="00F60FDB"/>
    <w:rsid w:val="00F6280F"/>
    <w:rsid w:val="00F64647"/>
    <w:rsid w:val="00F649ED"/>
    <w:rsid w:val="00F67C2B"/>
    <w:rsid w:val="00F74F8D"/>
    <w:rsid w:val="00F77F01"/>
    <w:rsid w:val="00F81BCB"/>
    <w:rsid w:val="00F83278"/>
    <w:rsid w:val="00F83345"/>
    <w:rsid w:val="00F8364F"/>
    <w:rsid w:val="00F83F3B"/>
    <w:rsid w:val="00F95CBE"/>
    <w:rsid w:val="00F97174"/>
    <w:rsid w:val="00F978A8"/>
    <w:rsid w:val="00FA17D1"/>
    <w:rsid w:val="00FA490D"/>
    <w:rsid w:val="00FA6C23"/>
    <w:rsid w:val="00FA7ADE"/>
    <w:rsid w:val="00FB03D8"/>
    <w:rsid w:val="00FB0520"/>
    <w:rsid w:val="00FB091D"/>
    <w:rsid w:val="00FB396E"/>
    <w:rsid w:val="00FB40FF"/>
    <w:rsid w:val="00FB4B88"/>
    <w:rsid w:val="00FB5359"/>
    <w:rsid w:val="00FB6F13"/>
    <w:rsid w:val="00FC0886"/>
    <w:rsid w:val="00FC282B"/>
    <w:rsid w:val="00FC49FE"/>
    <w:rsid w:val="00FC61C9"/>
    <w:rsid w:val="00FC7BFC"/>
    <w:rsid w:val="00FD0AD5"/>
    <w:rsid w:val="00FD270B"/>
    <w:rsid w:val="00FD431F"/>
    <w:rsid w:val="00FD563A"/>
    <w:rsid w:val="00FD58CA"/>
    <w:rsid w:val="00FD7939"/>
    <w:rsid w:val="00FE16E6"/>
    <w:rsid w:val="00FE3BAB"/>
    <w:rsid w:val="00FE675C"/>
    <w:rsid w:val="00FE7212"/>
    <w:rsid w:val="00FF0373"/>
    <w:rsid w:val="00FF21E7"/>
    <w:rsid w:val="00FF3595"/>
    <w:rsid w:val="00FF4A81"/>
    <w:rsid w:val="00FF51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7CD9CB-5104-40BD-A95F-DBF6EB7A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4635"/>
    <w:rPr>
      <w:sz w:val="24"/>
      <w:szCs w:val="24"/>
    </w:rPr>
  </w:style>
  <w:style w:type="paragraph" w:styleId="Nadpis1">
    <w:name w:val="heading 1"/>
    <w:basedOn w:val="Normln"/>
    <w:next w:val="Normln"/>
    <w:link w:val="Nadpis1Char"/>
    <w:qFormat/>
    <w:rsid w:val="009F6BB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qFormat/>
    <w:rsid w:val="00B01AB6"/>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466006"/>
    <w:pPr>
      <w:keepNext/>
      <w:keepLines/>
      <w:spacing w:before="40"/>
      <w:jc w:val="both"/>
      <w:outlineLvl w:val="2"/>
    </w:pPr>
    <w:rPr>
      <w:rFonts w:asciiTheme="majorHAnsi" w:eastAsiaTheme="majorEastAsia" w:hAnsiTheme="majorHAnsi" w:cstheme="majorBidi"/>
      <w:color w:val="243F60" w:themeColor="accent1" w:themeShade="7F"/>
      <w:lang w:eastAsia="en-US"/>
    </w:rPr>
  </w:style>
  <w:style w:type="paragraph" w:styleId="Nadpis4">
    <w:name w:val="heading 4"/>
    <w:basedOn w:val="Normln"/>
    <w:next w:val="Normln"/>
    <w:link w:val="Nadpis4Char"/>
    <w:uiPriority w:val="9"/>
    <w:unhideWhenUsed/>
    <w:qFormat/>
    <w:rsid w:val="00AA66B4"/>
    <w:pPr>
      <w:keepNext/>
      <w:keepLines/>
      <w:spacing w:before="40"/>
      <w:jc w:val="both"/>
      <w:outlineLvl w:val="3"/>
    </w:pPr>
    <w:rPr>
      <w:rFonts w:asciiTheme="majorHAnsi" w:eastAsiaTheme="majorEastAsia" w:hAnsiTheme="majorHAnsi" w:cstheme="majorBidi"/>
      <w:i/>
      <w:iCs/>
      <w:color w:val="365F91" w:themeColor="accent1" w:themeShade="BF"/>
      <w:szCs w:val="22"/>
      <w:lang w:eastAsia="en-US"/>
    </w:rPr>
  </w:style>
  <w:style w:type="paragraph" w:styleId="Nadpis5">
    <w:name w:val="heading 5"/>
    <w:basedOn w:val="Normln"/>
    <w:next w:val="Normln"/>
    <w:link w:val="Nadpis5Char"/>
    <w:uiPriority w:val="9"/>
    <w:unhideWhenUsed/>
    <w:qFormat/>
    <w:rsid w:val="00AA66B4"/>
    <w:pPr>
      <w:keepNext/>
      <w:keepLines/>
      <w:spacing w:before="40"/>
      <w:jc w:val="both"/>
      <w:outlineLvl w:val="4"/>
    </w:pPr>
    <w:rPr>
      <w:rFonts w:asciiTheme="majorHAnsi" w:eastAsiaTheme="majorEastAsia" w:hAnsiTheme="majorHAnsi" w:cstheme="majorBidi"/>
      <w:color w:val="365F91" w:themeColor="accent1" w:themeShade="BF"/>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546426"/>
    <w:pPr>
      <w:tabs>
        <w:tab w:val="center" w:pos="4536"/>
        <w:tab w:val="right" w:pos="9072"/>
      </w:tabs>
    </w:pPr>
    <w:rPr>
      <w:rFonts w:ascii="Arial" w:hAnsi="Arial"/>
      <w:sz w:val="20"/>
      <w:szCs w:val="20"/>
    </w:rPr>
  </w:style>
  <w:style w:type="character" w:customStyle="1" w:styleId="ZpatChar">
    <w:name w:val="Zápatí Char"/>
    <w:basedOn w:val="Standardnpsmoodstavce"/>
    <w:link w:val="Zpat"/>
    <w:uiPriority w:val="99"/>
    <w:rsid w:val="00546426"/>
    <w:rPr>
      <w:rFonts w:ascii="Arial" w:hAnsi="Arial"/>
    </w:rPr>
  </w:style>
  <w:style w:type="paragraph" w:customStyle="1" w:styleId="uvodniosloveni">
    <w:name w:val="uvodni osloveni"/>
    <w:basedOn w:val="Normln"/>
    <w:rsid w:val="00546426"/>
    <w:pPr>
      <w:spacing w:before="1200" w:line="300" w:lineRule="exact"/>
      <w:ind w:left="142"/>
      <w:jc w:val="both"/>
    </w:pPr>
    <w:rPr>
      <w:rFonts w:ascii="Arial" w:hAnsi="Arial"/>
      <w:color w:val="000000"/>
      <w:sz w:val="22"/>
      <w:szCs w:val="20"/>
    </w:rPr>
  </w:style>
  <w:style w:type="paragraph" w:customStyle="1" w:styleId="TEXT">
    <w:name w:val="_TEXT_"/>
    <w:basedOn w:val="Normln"/>
    <w:link w:val="TEXTChar"/>
    <w:qFormat/>
    <w:rsid w:val="00546426"/>
    <w:pPr>
      <w:spacing w:after="60" w:line="288" w:lineRule="auto"/>
      <w:ind w:left="284"/>
      <w:jc w:val="both"/>
    </w:pPr>
    <w:rPr>
      <w:rFonts w:eastAsiaTheme="minorHAnsi"/>
      <w:sz w:val="22"/>
      <w:lang w:eastAsia="en-US"/>
    </w:rPr>
  </w:style>
  <w:style w:type="character" w:customStyle="1" w:styleId="TEXTChar">
    <w:name w:val="_TEXT_ Char"/>
    <w:basedOn w:val="Standardnpsmoodstavce"/>
    <w:link w:val="TEXT"/>
    <w:rsid w:val="00546426"/>
    <w:rPr>
      <w:rFonts w:eastAsiaTheme="minorHAnsi"/>
      <w:sz w:val="22"/>
      <w:szCs w:val="24"/>
      <w:lang w:eastAsia="en-US"/>
    </w:rPr>
  </w:style>
  <w:style w:type="paragraph" w:customStyle="1" w:styleId="Nvrh">
    <w:name w:val="Návrh"/>
    <w:basedOn w:val="Normln"/>
    <w:next w:val="Normln"/>
    <w:rsid w:val="00546426"/>
    <w:pPr>
      <w:keepNext/>
      <w:keepLines/>
      <w:spacing w:after="240"/>
      <w:jc w:val="center"/>
      <w:outlineLvl w:val="0"/>
    </w:pPr>
    <w:rPr>
      <w:spacing w:val="40"/>
      <w:szCs w:val="20"/>
    </w:rPr>
  </w:style>
  <w:style w:type="character" w:styleId="Hypertextovodkaz">
    <w:name w:val="Hyperlink"/>
    <w:basedOn w:val="Standardnpsmoodstavce"/>
    <w:unhideWhenUsed/>
    <w:rsid w:val="00B41902"/>
    <w:rPr>
      <w:strike w:val="0"/>
      <w:dstrike w:val="0"/>
      <w:color w:val="05507A"/>
      <w:u w:val="none"/>
      <w:effect w:val="none"/>
    </w:rPr>
  </w:style>
  <w:style w:type="paragraph" w:customStyle="1" w:styleId="l31">
    <w:name w:val="l31"/>
    <w:basedOn w:val="Normln"/>
    <w:rsid w:val="00B41902"/>
    <w:pPr>
      <w:spacing w:before="144" w:after="144"/>
      <w:jc w:val="both"/>
    </w:pPr>
  </w:style>
  <w:style w:type="paragraph" w:customStyle="1" w:styleId="l21">
    <w:name w:val="l21"/>
    <w:basedOn w:val="Normln"/>
    <w:rsid w:val="00B41902"/>
    <w:pPr>
      <w:spacing w:before="144" w:after="144"/>
      <w:jc w:val="both"/>
    </w:pPr>
  </w:style>
  <w:style w:type="paragraph" w:customStyle="1" w:styleId="nadpisvyhlky">
    <w:name w:val="nadpis vyhlášky"/>
    <w:basedOn w:val="Normln"/>
    <w:next w:val="Normln"/>
    <w:rsid w:val="00B41902"/>
    <w:pPr>
      <w:keepNext/>
      <w:keepLines/>
      <w:spacing w:before="120"/>
      <w:jc w:val="center"/>
      <w:outlineLvl w:val="0"/>
    </w:pPr>
    <w:rPr>
      <w:b/>
      <w:szCs w:val="20"/>
    </w:rPr>
  </w:style>
  <w:style w:type="paragraph" w:customStyle="1" w:styleId="VYHLKA">
    <w:name w:val="VYHLÁŠKA"/>
    <w:basedOn w:val="Normln"/>
    <w:next w:val="nadpisvyhlky"/>
    <w:rsid w:val="00B41902"/>
    <w:pPr>
      <w:keepNext/>
      <w:keepLines/>
      <w:jc w:val="center"/>
      <w:outlineLvl w:val="0"/>
    </w:pPr>
    <w:rPr>
      <w:b/>
      <w:caps/>
      <w:szCs w:val="20"/>
    </w:rPr>
  </w:style>
  <w:style w:type="paragraph" w:customStyle="1" w:styleId="nadpiszkona">
    <w:name w:val="nadpis zákona"/>
    <w:basedOn w:val="Normln"/>
    <w:next w:val="Normln"/>
    <w:rsid w:val="00B41902"/>
    <w:pPr>
      <w:keepNext/>
      <w:keepLines/>
      <w:spacing w:before="120"/>
      <w:jc w:val="center"/>
      <w:outlineLvl w:val="0"/>
    </w:pPr>
    <w:rPr>
      <w:b/>
      <w:szCs w:val="20"/>
    </w:rPr>
  </w:style>
  <w:style w:type="paragraph" w:customStyle="1" w:styleId="l5">
    <w:name w:val="l5"/>
    <w:basedOn w:val="Normln"/>
    <w:rsid w:val="00B41902"/>
    <w:pPr>
      <w:spacing w:before="100" w:beforeAutospacing="1" w:after="100" w:afterAutospacing="1"/>
    </w:pPr>
  </w:style>
  <w:style w:type="paragraph" w:styleId="Zkladntextodsazen">
    <w:name w:val="Body Text Indent"/>
    <w:basedOn w:val="Normln"/>
    <w:link w:val="ZkladntextodsazenChar"/>
    <w:rsid w:val="00A95C6D"/>
    <w:pPr>
      <w:ind w:firstLine="1"/>
    </w:pPr>
    <w:rPr>
      <w:rFonts w:ascii="Arial" w:hAnsi="Arial" w:cs="Arial"/>
      <w:b/>
      <w:sz w:val="22"/>
    </w:rPr>
  </w:style>
  <w:style w:type="character" w:customStyle="1" w:styleId="ZkladntextodsazenChar">
    <w:name w:val="Základní text odsazený Char"/>
    <w:basedOn w:val="Standardnpsmoodstavce"/>
    <w:link w:val="Zkladntextodsazen"/>
    <w:rsid w:val="00A95C6D"/>
    <w:rPr>
      <w:rFonts w:ascii="Arial" w:hAnsi="Arial" w:cs="Arial"/>
      <w:b/>
      <w:sz w:val="22"/>
      <w:szCs w:val="24"/>
    </w:rPr>
  </w:style>
  <w:style w:type="paragraph" w:styleId="Zkladntextodsazen3">
    <w:name w:val="Body Text Indent 3"/>
    <w:basedOn w:val="Normln"/>
    <w:link w:val="Zkladntextodsazen3Char"/>
    <w:uiPriority w:val="99"/>
    <w:unhideWhenUsed/>
    <w:rsid w:val="00A95C6D"/>
    <w:pPr>
      <w:spacing w:after="120" w:line="300" w:lineRule="exact"/>
      <w:ind w:left="283"/>
      <w:jc w:val="both"/>
    </w:pPr>
    <w:rPr>
      <w:rFonts w:ascii="Arial" w:hAnsi="Arial"/>
      <w:color w:val="000000"/>
      <w:sz w:val="16"/>
      <w:szCs w:val="16"/>
    </w:rPr>
  </w:style>
  <w:style w:type="character" w:customStyle="1" w:styleId="Zkladntextodsazen3Char">
    <w:name w:val="Základní text odsazený 3 Char"/>
    <w:basedOn w:val="Standardnpsmoodstavce"/>
    <w:link w:val="Zkladntextodsazen3"/>
    <w:uiPriority w:val="99"/>
    <w:rsid w:val="00A95C6D"/>
    <w:rPr>
      <w:rFonts w:ascii="Arial" w:hAnsi="Arial"/>
      <w:color w:val="000000"/>
      <w:sz w:val="16"/>
      <w:szCs w:val="16"/>
    </w:rPr>
  </w:style>
  <w:style w:type="paragraph" w:styleId="Odstavecseseznamem">
    <w:name w:val="List Paragraph"/>
    <w:aliases w:val="nad 1,Nad,Odstavec_muj,Odstavec se seznamem1,Název grafu,Reference List,Odstavec cíl se seznamem,Odstavec se seznamem5,Čílovaný seznam NSK 1,List Paragraph,Odrážky,Odstavec se seznamem a odrážkou,1 úroveň Odstavec se seznamem"/>
    <w:basedOn w:val="Normln"/>
    <w:link w:val="OdstavecseseznamemChar"/>
    <w:uiPriority w:val="34"/>
    <w:qFormat/>
    <w:rsid w:val="00A95C6D"/>
    <w:pPr>
      <w:spacing w:line="300" w:lineRule="exact"/>
      <w:ind w:left="720"/>
      <w:contextualSpacing/>
      <w:jc w:val="both"/>
    </w:pPr>
    <w:rPr>
      <w:rFonts w:ascii="Arial" w:hAnsi="Arial"/>
      <w:color w:val="000000"/>
      <w:sz w:val="22"/>
    </w:rPr>
  </w:style>
  <w:style w:type="paragraph" w:customStyle="1" w:styleId="Novelizanbod">
    <w:name w:val="Novelizační bod"/>
    <w:basedOn w:val="Normln"/>
    <w:next w:val="Normln"/>
    <w:qFormat/>
    <w:rsid w:val="00AD05E9"/>
    <w:pPr>
      <w:keepNext/>
      <w:keepLines/>
      <w:numPr>
        <w:numId w:val="1"/>
      </w:numPr>
      <w:tabs>
        <w:tab w:val="left" w:pos="851"/>
      </w:tabs>
      <w:spacing w:before="480" w:after="120"/>
      <w:jc w:val="both"/>
    </w:pPr>
    <w:rPr>
      <w:szCs w:val="20"/>
      <w:u w:val="single"/>
    </w:rPr>
  </w:style>
  <w:style w:type="paragraph" w:styleId="Bezmezer">
    <w:name w:val="No Spacing"/>
    <w:uiPriority w:val="1"/>
    <w:qFormat/>
    <w:rsid w:val="00AD05E9"/>
    <w:rPr>
      <w:rFonts w:ascii="Calibri" w:eastAsia="Calibri" w:hAnsi="Calibri"/>
      <w:sz w:val="22"/>
      <w:szCs w:val="22"/>
      <w:lang w:eastAsia="en-US"/>
    </w:rPr>
  </w:style>
  <w:style w:type="paragraph" w:styleId="Zkladntext">
    <w:name w:val="Body Text"/>
    <w:basedOn w:val="Normln"/>
    <w:link w:val="ZkladntextChar"/>
    <w:rsid w:val="00811A47"/>
    <w:pPr>
      <w:spacing w:after="120"/>
    </w:pPr>
  </w:style>
  <w:style w:type="character" w:customStyle="1" w:styleId="ZkladntextChar">
    <w:name w:val="Základní text Char"/>
    <w:basedOn w:val="Standardnpsmoodstavce"/>
    <w:link w:val="Zkladntext"/>
    <w:rsid w:val="00811A47"/>
    <w:rPr>
      <w:sz w:val="24"/>
      <w:szCs w:val="24"/>
    </w:rPr>
  </w:style>
  <w:style w:type="character" w:customStyle="1" w:styleId="Internetovodkaz">
    <w:name w:val="Internetový odkaz"/>
    <w:rsid w:val="00811A47"/>
    <w:rPr>
      <w:color w:val="000080"/>
      <w:u w:val="single"/>
    </w:rPr>
  </w:style>
  <w:style w:type="paragraph" w:customStyle="1" w:styleId="Normln1">
    <w:name w:val="Normální1"/>
    <w:qFormat/>
    <w:rsid w:val="00811A47"/>
    <w:rPr>
      <w:rFonts w:ascii="Arial" w:eastAsia="Arial" w:hAnsi="Arial" w:cs="Arial"/>
      <w:color w:val="00000A"/>
      <w:sz w:val="22"/>
      <w:szCs w:val="22"/>
      <w:lang w:eastAsia="zh-CN"/>
    </w:rPr>
  </w:style>
  <w:style w:type="paragraph" w:customStyle="1" w:styleId="Nvod">
    <w:name w:val="Návod"/>
    <w:basedOn w:val="Normln"/>
    <w:rsid w:val="00811A47"/>
    <w:pPr>
      <w:overflowPunct w:val="0"/>
      <w:autoSpaceDE w:val="0"/>
      <w:autoSpaceDN w:val="0"/>
      <w:adjustRightInd w:val="0"/>
      <w:ind w:left="340" w:hanging="340"/>
    </w:pPr>
    <w:rPr>
      <w:szCs w:val="20"/>
    </w:rPr>
  </w:style>
  <w:style w:type="paragraph" w:customStyle="1" w:styleId="slovn">
    <w:name w:val="číslování"/>
    <w:basedOn w:val="Normln"/>
    <w:rsid w:val="00811A47"/>
    <w:pPr>
      <w:numPr>
        <w:numId w:val="2"/>
      </w:numPr>
      <w:jc w:val="center"/>
    </w:pPr>
    <w:rPr>
      <w:sz w:val="20"/>
      <w:szCs w:val="20"/>
    </w:rPr>
  </w:style>
  <w:style w:type="paragraph" w:styleId="Textpoznpodarou">
    <w:name w:val="footnote text"/>
    <w:basedOn w:val="Normln"/>
    <w:link w:val="TextpoznpodarouChar"/>
    <w:uiPriority w:val="99"/>
    <w:unhideWhenUsed/>
    <w:rsid w:val="00221D4C"/>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221D4C"/>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21D4C"/>
    <w:rPr>
      <w:vertAlign w:val="superscript"/>
    </w:rPr>
  </w:style>
  <w:style w:type="paragraph" w:styleId="Textbubliny">
    <w:name w:val="Balloon Text"/>
    <w:basedOn w:val="Normln"/>
    <w:link w:val="TextbublinyChar"/>
    <w:rsid w:val="00977F9B"/>
    <w:rPr>
      <w:rFonts w:ascii="Tahoma" w:hAnsi="Tahoma" w:cs="Tahoma"/>
      <w:sz w:val="16"/>
      <w:szCs w:val="16"/>
    </w:rPr>
  </w:style>
  <w:style w:type="character" w:customStyle="1" w:styleId="TextbublinyChar">
    <w:name w:val="Text bubliny Char"/>
    <w:basedOn w:val="Standardnpsmoodstavce"/>
    <w:link w:val="Textbubliny"/>
    <w:rsid w:val="00977F9B"/>
    <w:rPr>
      <w:rFonts w:ascii="Tahoma" w:hAnsi="Tahoma" w:cs="Tahoma"/>
      <w:sz w:val="16"/>
      <w:szCs w:val="16"/>
    </w:rPr>
  </w:style>
  <w:style w:type="paragraph" w:customStyle="1" w:styleId="l51">
    <w:name w:val="l51"/>
    <w:basedOn w:val="Normln"/>
    <w:rsid w:val="00545687"/>
    <w:pPr>
      <w:spacing w:before="144" w:after="144"/>
      <w:jc w:val="both"/>
    </w:pPr>
  </w:style>
  <w:style w:type="paragraph" w:customStyle="1" w:styleId="l41">
    <w:name w:val="l41"/>
    <w:basedOn w:val="Normln"/>
    <w:rsid w:val="00545687"/>
    <w:pPr>
      <w:spacing w:before="144" w:after="144"/>
      <w:jc w:val="both"/>
    </w:pPr>
  </w:style>
  <w:style w:type="paragraph" w:customStyle="1" w:styleId="l61">
    <w:name w:val="l61"/>
    <w:basedOn w:val="Normln"/>
    <w:rsid w:val="00545687"/>
    <w:pPr>
      <w:spacing w:before="144" w:after="144"/>
      <w:jc w:val="both"/>
    </w:pPr>
  </w:style>
  <w:style w:type="paragraph" w:customStyle="1" w:styleId="Textbodu">
    <w:name w:val="Text bodu"/>
    <w:basedOn w:val="Normln"/>
    <w:rsid w:val="00545687"/>
    <w:pPr>
      <w:numPr>
        <w:ilvl w:val="2"/>
        <w:numId w:val="3"/>
      </w:numPr>
      <w:jc w:val="both"/>
      <w:outlineLvl w:val="8"/>
    </w:pPr>
    <w:rPr>
      <w:szCs w:val="20"/>
    </w:rPr>
  </w:style>
  <w:style w:type="paragraph" w:customStyle="1" w:styleId="Textpsmene">
    <w:name w:val="Text písmene"/>
    <w:basedOn w:val="Normln"/>
    <w:link w:val="TextpsmeneChar"/>
    <w:rsid w:val="00545687"/>
    <w:pPr>
      <w:numPr>
        <w:ilvl w:val="1"/>
        <w:numId w:val="3"/>
      </w:numPr>
      <w:jc w:val="both"/>
      <w:outlineLvl w:val="7"/>
    </w:pPr>
    <w:rPr>
      <w:szCs w:val="20"/>
    </w:rPr>
  </w:style>
  <w:style w:type="paragraph" w:customStyle="1" w:styleId="Textodstavce">
    <w:name w:val="Text odstavce"/>
    <w:basedOn w:val="Normln"/>
    <w:link w:val="TextodstavceCharChar"/>
    <w:rsid w:val="00545687"/>
    <w:pPr>
      <w:numPr>
        <w:numId w:val="3"/>
      </w:numPr>
      <w:tabs>
        <w:tab w:val="left" w:pos="851"/>
      </w:tabs>
      <w:spacing w:before="120" w:after="120"/>
      <w:jc w:val="both"/>
      <w:outlineLvl w:val="6"/>
    </w:pPr>
    <w:rPr>
      <w:szCs w:val="20"/>
    </w:rPr>
  </w:style>
  <w:style w:type="character" w:customStyle="1" w:styleId="TextodstavceCharChar">
    <w:name w:val="Text odstavce Char Char"/>
    <w:link w:val="Textodstavce"/>
    <w:locked/>
    <w:rsid w:val="00545687"/>
    <w:rPr>
      <w:sz w:val="24"/>
    </w:rPr>
  </w:style>
  <w:style w:type="character" w:customStyle="1" w:styleId="TextpsmeneChar">
    <w:name w:val="Text písmene Char"/>
    <w:link w:val="Textpsmene"/>
    <w:locked/>
    <w:rsid w:val="00545687"/>
    <w:rPr>
      <w:sz w:val="24"/>
    </w:rPr>
  </w:style>
  <w:style w:type="character" w:customStyle="1" w:styleId="OdstavecseseznamemChar">
    <w:name w:val="Odstavec se seznamem Char"/>
    <w:aliases w:val="nad 1 Char,Nad Char,Odstavec_muj Char,Odstavec se seznamem1 Char,Název grafu Char,Reference List Char,Odstavec cíl se seznamem Char,Odstavec se seznamem5 Char,Čílovaný seznam NSK 1 Char,List Paragraph Char,Odrážky Char"/>
    <w:link w:val="Odstavecseseznamem"/>
    <w:uiPriority w:val="34"/>
    <w:rsid w:val="00545687"/>
    <w:rPr>
      <w:rFonts w:ascii="Arial" w:hAnsi="Arial"/>
      <w:color w:val="000000"/>
      <w:sz w:val="22"/>
      <w:szCs w:val="24"/>
    </w:rPr>
  </w:style>
  <w:style w:type="paragraph" w:customStyle="1" w:styleId="l4">
    <w:name w:val="l4"/>
    <w:basedOn w:val="Normln"/>
    <w:rsid w:val="00545687"/>
    <w:pPr>
      <w:spacing w:before="100" w:beforeAutospacing="1" w:after="100" w:afterAutospacing="1"/>
    </w:pPr>
  </w:style>
  <w:style w:type="character" w:styleId="PromnnHTML">
    <w:name w:val="HTML Variable"/>
    <w:basedOn w:val="Standardnpsmoodstavce"/>
    <w:uiPriority w:val="99"/>
    <w:unhideWhenUsed/>
    <w:rsid w:val="00545687"/>
    <w:rPr>
      <w:i/>
      <w:iCs/>
    </w:rPr>
  </w:style>
  <w:style w:type="paragraph" w:customStyle="1" w:styleId="l6">
    <w:name w:val="l6"/>
    <w:basedOn w:val="Normln"/>
    <w:rsid w:val="00545687"/>
    <w:pPr>
      <w:spacing w:before="100" w:beforeAutospacing="1" w:after="100" w:afterAutospacing="1"/>
    </w:pPr>
  </w:style>
  <w:style w:type="paragraph" w:styleId="Textkomente">
    <w:name w:val="annotation text"/>
    <w:basedOn w:val="Normln"/>
    <w:link w:val="TextkomenteChar"/>
    <w:unhideWhenUsed/>
    <w:rsid w:val="0068724C"/>
    <w:rPr>
      <w:rFonts w:ascii="Arial" w:eastAsia="Calibri" w:hAnsi="Arial"/>
      <w:sz w:val="20"/>
      <w:szCs w:val="20"/>
      <w:lang w:eastAsia="en-US"/>
    </w:rPr>
  </w:style>
  <w:style w:type="character" w:customStyle="1" w:styleId="TextkomenteChar">
    <w:name w:val="Text komentáře Char"/>
    <w:basedOn w:val="Standardnpsmoodstavce"/>
    <w:link w:val="Textkomente"/>
    <w:rsid w:val="0068724C"/>
    <w:rPr>
      <w:rFonts w:ascii="Arial" w:eastAsia="Calibri" w:hAnsi="Arial"/>
      <w:lang w:eastAsia="en-US"/>
    </w:rPr>
  </w:style>
  <w:style w:type="paragraph" w:customStyle="1" w:styleId="Default">
    <w:name w:val="Default"/>
    <w:rsid w:val="00FB396E"/>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FB396E"/>
    <w:pPr>
      <w:spacing w:before="100" w:beforeAutospacing="1" w:after="100" w:afterAutospacing="1"/>
    </w:pPr>
    <w:rPr>
      <w:rFonts w:eastAsiaTheme="minorHAnsi"/>
    </w:rPr>
  </w:style>
  <w:style w:type="paragraph" w:customStyle="1" w:styleId="Obsahtabulky">
    <w:name w:val="Obsah tabulky"/>
    <w:basedOn w:val="Normln"/>
    <w:rsid w:val="00FB396E"/>
    <w:pPr>
      <w:suppressLineNumbers/>
      <w:suppressAutoHyphens/>
      <w:spacing w:line="300" w:lineRule="exact"/>
      <w:jc w:val="both"/>
    </w:pPr>
    <w:rPr>
      <w:rFonts w:ascii="Arial" w:hAnsi="Arial"/>
      <w:color w:val="000000"/>
      <w:sz w:val="22"/>
      <w:lang w:eastAsia="ar-SA"/>
    </w:rPr>
  </w:style>
  <w:style w:type="paragraph" w:customStyle="1" w:styleId="Normlnweb1">
    <w:name w:val="Normální (web)1"/>
    <w:basedOn w:val="Normln"/>
    <w:rsid w:val="00FB396E"/>
    <w:pPr>
      <w:suppressAutoHyphens/>
      <w:spacing w:before="280" w:after="280" w:line="300" w:lineRule="exact"/>
      <w:jc w:val="both"/>
    </w:pPr>
    <w:rPr>
      <w:color w:val="000000"/>
      <w:sz w:val="22"/>
      <w:lang w:eastAsia="ar-SA"/>
    </w:rPr>
  </w:style>
  <w:style w:type="paragraph" w:customStyle="1" w:styleId="Standard">
    <w:name w:val="Standard"/>
    <w:rsid w:val="00FB396E"/>
    <w:pPr>
      <w:widowControl w:val="0"/>
      <w:suppressAutoHyphens/>
      <w:textAlignment w:val="baseline"/>
    </w:pPr>
    <w:rPr>
      <w:rFonts w:ascii="Calibri" w:eastAsia="SimSun" w:hAnsi="Calibri" w:cs="Lucida Sans"/>
      <w:kern w:val="1"/>
      <w:sz w:val="24"/>
      <w:szCs w:val="24"/>
      <w:lang w:eastAsia="hi-IN" w:bidi="hi-IN"/>
    </w:rPr>
  </w:style>
  <w:style w:type="paragraph" w:styleId="Prosttext">
    <w:name w:val="Plain Text"/>
    <w:basedOn w:val="Normln"/>
    <w:link w:val="ProsttextChar"/>
    <w:uiPriority w:val="99"/>
    <w:unhideWhenUsed/>
    <w:rsid w:val="00FB396E"/>
    <w:rPr>
      <w:rFonts w:ascii="Calibri" w:eastAsiaTheme="minorHAnsi" w:hAnsi="Calibri"/>
      <w:sz w:val="22"/>
      <w:szCs w:val="22"/>
      <w:lang w:eastAsia="en-US"/>
    </w:rPr>
  </w:style>
  <w:style w:type="character" w:customStyle="1" w:styleId="ProsttextChar">
    <w:name w:val="Prostý text Char"/>
    <w:basedOn w:val="Standardnpsmoodstavce"/>
    <w:link w:val="Prosttext"/>
    <w:uiPriority w:val="99"/>
    <w:rsid w:val="00FB396E"/>
    <w:rPr>
      <w:rFonts w:ascii="Calibri" w:eastAsiaTheme="minorHAnsi" w:hAnsi="Calibri"/>
      <w:sz w:val="22"/>
      <w:szCs w:val="22"/>
      <w:lang w:eastAsia="en-US"/>
    </w:rPr>
  </w:style>
  <w:style w:type="paragraph" w:customStyle="1" w:styleId="KUMS-text">
    <w:name w:val="KUMS-text"/>
    <w:basedOn w:val="Zkladntext"/>
    <w:uiPriority w:val="99"/>
    <w:rsid w:val="00FB396E"/>
    <w:pPr>
      <w:spacing w:after="280" w:line="280" w:lineRule="exact"/>
      <w:jc w:val="both"/>
    </w:pPr>
    <w:rPr>
      <w:rFonts w:ascii="Tahoma" w:eastAsiaTheme="minorEastAsia" w:hAnsi="Tahoma" w:cs="Tahoma"/>
      <w:sz w:val="20"/>
      <w:szCs w:val="20"/>
    </w:rPr>
  </w:style>
  <w:style w:type="paragraph" w:styleId="Zhlav">
    <w:name w:val="header"/>
    <w:basedOn w:val="Normln"/>
    <w:link w:val="ZhlavChar"/>
    <w:uiPriority w:val="99"/>
    <w:rsid w:val="007346AD"/>
    <w:pPr>
      <w:tabs>
        <w:tab w:val="center" w:pos="4536"/>
        <w:tab w:val="right" w:pos="9072"/>
      </w:tabs>
    </w:pPr>
  </w:style>
  <w:style w:type="character" w:customStyle="1" w:styleId="ZhlavChar">
    <w:name w:val="Záhlaví Char"/>
    <w:basedOn w:val="Standardnpsmoodstavce"/>
    <w:link w:val="Zhlav"/>
    <w:uiPriority w:val="99"/>
    <w:rsid w:val="007346AD"/>
    <w:rPr>
      <w:sz w:val="24"/>
      <w:szCs w:val="24"/>
    </w:rPr>
  </w:style>
  <w:style w:type="paragraph" w:customStyle="1" w:styleId="Stylnadpisr">
    <w:name w:val="Styl nadpis růž"/>
    <w:basedOn w:val="Normln"/>
    <w:link w:val="StylnadpisrChar"/>
    <w:qFormat/>
    <w:rsid w:val="00BB51F6"/>
    <w:pPr>
      <w:shd w:val="clear" w:color="auto" w:fill="F7CAAC"/>
      <w:spacing w:after="240"/>
      <w:jc w:val="both"/>
    </w:pPr>
    <w:rPr>
      <w:b/>
      <w:bCs/>
    </w:rPr>
  </w:style>
  <w:style w:type="character" w:customStyle="1" w:styleId="StylnadpisrChar">
    <w:name w:val="Styl nadpis růž Char"/>
    <w:link w:val="Stylnadpisr"/>
    <w:rsid w:val="00BB51F6"/>
    <w:rPr>
      <w:b/>
      <w:bCs/>
      <w:sz w:val="24"/>
      <w:szCs w:val="24"/>
      <w:shd w:val="clear" w:color="auto" w:fill="F7CAAC"/>
    </w:rPr>
  </w:style>
  <w:style w:type="character" w:customStyle="1" w:styleId="Nadpis2Char">
    <w:name w:val="Nadpis 2 Char"/>
    <w:basedOn w:val="Standardnpsmoodstavce"/>
    <w:link w:val="Nadpis2"/>
    <w:uiPriority w:val="9"/>
    <w:rsid w:val="00B01AB6"/>
    <w:rPr>
      <w:rFonts w:ascii="Calibri Light" w:hAnsi="Calibri Light"/>
      <w:b/>
      <w:bCs/>
      <w:i/>
      <w:iCs/>
      <w:sz w:val="28"/>
      <w:szCs w:val="28"/>
    </w:rPr>
  </w:style>
  <w:style w:type="paragraph" w:customStyle="1" w:styleId="Odstavecseseznamem2">
    <w:name w:val="Odstavec se seznamem2"/>
    <w:basedOn w:val="Normln"/>
    <w:rsid w:val="00B01AB6"/>
    <w:pPr>
      <w:spacing w:after="200" w:line="276" w:lineRule="auto"/>
      <w:ind w:left="720"/>
      <w:contextualSpacing/>
    </w:pPr>
    <w:rPr>
      <w:rFonts w:ascii="Calibri" w:hAnsi="Calibri"/>
      <w:sz w:val="22"/>
      <w:szCs w:val="22"/>
      <w:lang w:eastAsia="en-US"/>
    </w:rPr>
  </w:style>
  <w:style w:type="paragraph" w:styleId="Obsah2">
    <w:name w:val="toc 2"/>
    <w:basedOn w:val="Normln"/>
    <w:next w:val="Normln"/>
    <w:autoRedefine/>
    <w:unhideWhenUsed/>
    <w:rsid w:val="004B1E6F"/>
    <w:pPr>
      <w:tabs>
        <w:tab w:val="left" w:pos="426"/>
      </w:tabs>
      <w:spacing w:after="120"/>
      <w:jc w:val="both"/>
    </w:pPr>
    <w:rPr>
      <w:rFonts w:eastAsia="MS Mincho"/>
      <w:noProof/>
      <w:lang w:eastAsia="en-US"/>
    </w:rPr>
  </w:style>
  <w:style w:type="character" w:styleId="Odkaznakoment">
    <w:name w:val="annotation reference"/>
    <w:basedOn w:val="Standardnpsmoodstavce"/>
    <w:semiHidden/>
    <w:unhideWhenUsed/>
    <w:rsid w:val="00353B16"/>
    <w:rPr>
      <w:sz w:val="16"/>
      <w:szCs w:val="16"/>
    </w:rPr>
  </w:style>
  <w:style w:type="paragraph" w:styleId="Pedmtkomente">
    <w:name w:val="annotation subject"/>
    <w:basedOn w:val="Textkomente"/>
    <w:next w:val="Textkomente"/>
    <w:link w:val="PedmtkomenteChar"/>
    <w:semiHidden/>
    <w:unhideWhenUsed/>
    <w:rsid w:val="00353B16"/>
    <w:rPr>
      <w:rFonts w:ascii="Times New Roman" w:eastAsia="Times New Roman" w:hAnsi="Times New Roman"/>
      <w:b/>
      <w:bCs/>
      <w:lang w:eastAsia="cs-CZ"/>
    </w:rPr>
  </w:style>
  <w:style w:type="character" w:customStyle="1" w:styleId="PedmtkomenteChar">
    <w:name w:val="Předmět komentáře Char"/>
    <w:basedOn w:val="TextkomenteChar"/>
    <w:link w:val="Pedmtkomente"/>
    <w:semiHidden/>
    <w:rsid w:val="00353B16"/>
    <w:rPr>
      <w:rFonts w:ascii="Arial" w:eastAsia="Calibri" w:hAnsi="Arial"/>
      <w:b/>
      <w:bCs/>
      <w:lang w:eastAsia="en-US"/>
    </w:rPr>
  </w:style>
  <w:style w:type="character" w:styleId="Sledovanodkaz">
    <w:name w:val="FollowedHyperlink"/>
    <w:basedOn w:val="Standardnpsmoodstavce"/>
    <w:semiHidden/>
    <w:unhideWhenUsed/>
    <w:rsid w:val="00E13181"/>
    <w:rPr>
      <w:color w:val="800080" w:themeColor="followedHyperlink"/>
      <w:u w:val="single"/>
    </w:rPr>
  </w:style>
  <w:style w:type="paragraph" w:styleId="Obsah1">
    <w:name w:val="toc 1"/>
    <w:basedOn w:val="Normln"/>
    <w:next w:val="Normln"/>
    <w:autoRedefine/>
    <w:uiPriority w:val="39"/>
    <w:unhideWhenUsed/>
    <w:rsid w:val="009B6F63"/>
    <w:pPr>
      <w:spacing w:after="100"/>
      <w:jc w:val="both"/>
    </w:pPr>
    <w:rPr>
      <w:rFonts w:eastAsiaTheme="minorHAnsi" w:cstheme="minorBidi"/>
      <w:szCs w:val="22"/>
      <w:lang w:eastAsia="en-US"/>
    </w:rPr>
  </w:style>
  <w:style w:type="paragraph" w:styleId="Zkladntext3">
    <w:name w:val="Body Text 3"/>
    <w:basedOn w:val="Normln"/>
    <w:link w:val="Zkladntext3Char"/>
    <w:semiHidden/>
    <w:unhideWhenUsed/>
    <w:rsid w:val="00370519"/>
    <w:pPr>
      <w:spacing w:after="120"/>
    </w:pPr>
    <w:rPr>
      <w:sz w:val="16"/>
      <w:szCs w:val="16"/>
    </w:rPr>
  </w:style>
  <w:style w:type="character" w:customStyle="1" w:styleId="Zkladntext3Char">
    <w:name w:val="Základní text 3 Char"/>
    <w:basedOn w:val="Standardnpsmoodstavce"/>
    <w:link w:val="Zkladntext3"/>
    <w:semiHidden/>
    <w:rsid w:val="00370519"/>
    <w:rPr>
      <w:sz w:val="16"/>
      <w:szCs w:val="16"/>
    </w:rPr>
  </w:style>
  <w:style w:type="character" w:customStyle="1" w:styleId="Nadpis3Char">
    <w:name w:val="Nadpis 3 Char"/>
    <w:basedOn w:val="Standardnpsmoodstavce"/>
    <w:link w:val="Nadpis3"/>
    <w:uiPriority w:val="9"/>
    <w:rsid w:val="00466006"/>
    <w:rPr>
      <w:rFonts w:asciiTheme="majorHAnsi" w:eastAsiaTheme="majorEastAsia" w:hAnsiTheme="majorHAnsi" w:cstheme="majorBidi"/>
      <w:color w:val="243F60" w:themeColor="accent1" w:themeShade="7F"/>
      <w:sz w:val="24"/>
      <w:szCs w:val="24"/>
      <w:lang w:eastAsia="en-US"/>
    </w:rPr>
  </w:style>
  <w:style w:type="character" w:customStyle="1" w:styleId="Nadpis1Char">
    <w:name w:val="Nadpis 1 Char"/>
    <w:basedOn w:val="Standardnpsmoodstavce"/>
    <w:link w:val="Nadpis1"/>
    <w:rsid w:val="009F6BB2"/>
    <w:rPr>
      <w:rFonts w:asciiTheme="majorHAnsi" w:eastAsiaTheme="majorEastAsia" w:hAnsiTheme="majorHAnsi" w:cstheme="majorBidi"/>
      <w:color w:val="365F91" w:themeColor="accent1" w:themeShade="BF"/>
      <w:sz w:val="32"/>
      <w:szCs w:val="32"/>
    </w:rPr>
  </w:style>
  <w:style w:type="table" w:styleId="Mkatabulky">
    <w:name w:val="Table Grid"/>
    <w:basedOn w:val="Normlntabulka"/>
    <w:uiPriority w:val="39"/>
    <w:rsid w:val="00AA25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
    <w:uiPriority w:val="1"/>
    <w:qFormat/>
    <w:rsid w:val="00440C6E"/>
    <w:pPr>
      <w:keepNext/>
      <w:jc w:val="center"/>
    </w:pPr>
    <w:rPr>
      <w:rFonts w:ascii="Arial" w:hAnsi="Arial"/>
      <w:bCs/>
      <w:color w:val="5F497A"/>
      <w:sz w:val="20"/>
      <w:szCs w:val="22"/>
    </w:rPr>
  </w:style>
  <w:style w:type="character" w:customStyle="1" w:styleId="Nadpis4Char">
    <w:name w:val="Nadpis 4 Char"/>
    <w:basedOn w:val="Standardnpsmoodstavce"/>
    <w:link w:val="Nadpis4"/>
    <w:uiPriority w:val="9"/>
    <w:rsid w:val="00AA66B4"/>
    <w:rPr>
      <w:rFonts w:asciiTheme="majorHAnsi" w:eastAsiaTheme="majorEastAsia" w:hAnsiTheme="majorHAnsi" w:cstheme="majorBidi"/>
      <w:i/>
      <w:iCs/>
      <w:color w:val="365F91" w:themeColor="accent1" w:themeShade="BF"/>
      <w:sz w:val="24"/>
      <w:szCs w:val="22"/>
      <w:lang w:eastAsia="en-US"/>
    </w:rPr>
  </w:style>
  <w:style w:type="character" w:customStyle="1" w:styleId="Nadpis5Char">
    <w:name w:val="Nadpis 5 Char"/>
    <w:basedOn w:val="Standardnpsmoodstavce"/>
    <w:link w:val="Nadpis5"/>
    <w:uiPriority w:val="9"/>
    <w:rsid w:val="00AA66B4"/>
    <w:rPr>
      <w:rFonts w:asciiTheme="majorHAnsi" w:eastAsiaTheme="majorEastAsia" w:hAnsiTheme="majorHAnsi" w:cstheme="majorBidi"/>
      <w:color w:val="365F91" w:themeColor="accent1" w:themeShade="BF"/>
      <w:sz w:val="24"/>
      <w:szCs w:val="22"/>
      <w:lang w:eastAsia="en-US"/>
    </w:rPr>
  </w:style>
  <w:style w:type="character" w:customStyle="1" w:styleId="nodename1">
    <w:name w:val="nodename1"/>
    <w:basedOn w:val="Standardnpsmoodstavce"/>
    <w:rsid w:val="00FF5130"/>
    <w:rPr>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69864">
      <w:bodyDiv w:val="1"/>
      <w:marLeft w:val="0"/>
      <w:marRight w:val="0"/>
      <w:marTop w:val="0"/>
      <w:marBottom w:val="0"/>
      <w:divBdr>
        <w:top w:val="none" w:sz="0" w:space="0" w:color="auto"/>
        <w:left w:val="none" w:sz="0" w:space="0" w:color="auto"/>
        <w:bottom w:val="none" w:sz="0" w:space="0" w:color="auto"/>
        <w:right w:val="none" w:sz="0" w:space="0" w:color="auto"/>
      </w:divBdr>
    </w:div>
    <w:div w:id="547839835">
      <w:bodyDiv w:val="1"/>
      <w:marLeft w:val="0"/>
      <w:marRight w:val="0"/>
      <w:marTop w:val="0"/>
      <w:marBottom w:val="0"/>
      <w:divBdr>
        <w:top w:val="none" w:sz="0" w:space="0" w:color="auto"/>
        <w:left w:val="none" w:sz="0" w:space="0" w:color="auto"/>
        <w:bottom w:val="none" w:sz="0" w:space="0" w:color="auto"/>
        <w:right w:val="none" w:sz="0" w:space="0" w:color="auto"/>
      </w:divBdr>
    </w:div>
    <w:div w:id="667247684">
      <w:bodyDiv w:val="1"/>
      <w:marLeft w:val="0"/>
      <w:marRight w:val="0"/>
      <w:marTop w:val="0"/>
      <w:marBottom w:val="0"/>
      <w:divBdr>
        <w:top w:val="none" w:sz="0" w:space="0" w:color="auto"/>
        <w:left w:val="none" w:sz="0" w:space="0" w:color="auto"/>
        <w:bottom w:val="none" w:sz="0" w:space="0" w:color="auto"/>
        <w:right w:val="none" w:sz="0" w:space="0" w:color="auto"/>
      </w:divBdr>
    </w:div>
    <w:div w:id="783967463">
      <w:bodyDiv w:val="1"/>
      <w:marLeft w:val="0"/>
      <w:marRight w:val="0"/>
      <w:marTop w:val="0"/>
      <w:marBottom w:val="0"/>
      <w:divBdr>
        <w:top w:val="none" w:sz="0" w:space="0" w:color="auto"/>
        <w:left w:val="none" w:sz="0" w:space="0" w:color="auto"/>
        <w:bottom w:val="none" w:sz="0" w:space="0" w:color="auto"/>
        <w:right w:val="none" w:sz="0" w:space="0" w:color="auto"/>
      </w:divBdr>
    </w:div>
    <w:div w:id="852186629">
      <w:bodyDiv w:val="1"/>
      <w:marLeft w:val="0"/>
      <w:marRight w:val="0"/>
      <w:marTop w:val="0"/>
      <w:marBottom w:val="0"/>
      <w:divBdr>
        <w:top w:val="none" w:sz="0" w:space="0" w:color="auto"/>
        <w:left w:val="none" w:sz="0" w:space="0" w:color="auto"/>
        <w:bottom w:val="none" w:sz="0" w:space="0" w:color="auto"/>
        <w:right w:val="none" w:sz="0" w:space="0" w:color="auto"/>
      </w:divBdr>
    </w:div>
    <w:div w:id="1010645336">
      <w:bodyDiv w:val="1"/>
      <w:marLeft w:val="0"/>
      <w:marRight w:val="0"/>
      <w:marTop w:val="0"/>
      <w:marBottom w:val="0"/>
      <w:divBdr>
        <w:top w:val="none" w:sz="0" w:space="0" w:color="auto"/>
        <w:left w:val="none" w:sz="0" w:space="0" w:color="auto"/>
        <w:bottom w:val="none" w:sz="0" w:space="0" w:color="auto"/>
        <w:right w:val="none" w:sz="0" w:space="0" w:color="auto"/>
      </w:divBdr>
    </w:div>
    <w:div w:id="1051031085">
      <w:bodyDiv w:val="1"/>
      <w:marLeft w:val="0"/>
      <w:marRight w:val="0"/>
      <w:marTop w:val="0"/>
      <w:marBottom w:val="0"/>
      <w:divBdr>
        <w:top w:val="none" w:sz="0" w:space="0" w:color="auto"/>
        <w:left w:val="none" w:sz="0" w:space="0" w:color="auto"/>
        <w:bottom w:val="none" w:sz="0" w:space="0" w:color="auto"/>
        <w:right w:val="none" w:sz="0" w:space="0" w:color="auto"/>
      </w:divBdr>
    </w:div>
    <w:div w:id="1069234009">
      <w:bodyDiv w:val="1"/>
      <w:marLeft w:val="0"/>
      <w:marRight w:val="0"/>
      <w:marTop w:val="0"/>
      <w:marBottom w:val="0"/>
      <w:divBdr>
        <w:top w:val="none" w:sz="0" w:space="0" w:color="auto"/>
        <w:left w:val="none" w:sz="0" w:space="0" w:color="auto"/>
        <w:bottom w:val="none" w:sz="0" w:space="0" w:color="auto"/>
        <w:right w:val="none" w:sz="0" w:space="0" w:color="auto"/>
      </w:divBdr>
    </w:div>
    <w:div w:id="1568343643">
      <w:bodyDiv w:val="1"/>
      <w:marLeft w:val="0"/>
      <w:marRight w:val="0"/>
      <w:marTop w:val="0"/>
      <w:marBottom w:val="0"/>
      <w:divBdr>
        <w:top w:val="none" w:sz="0" w:space="0" w:color="auto"/>
        <w:left w:val="none" w:sz="0" w:space="0" w:color="auto"/>
        <w:bottom w:val="none" w:sz="0" w:space="0" w:color="auto"/>
        <w:right w:val="none" w:sz="0" w:space="0" w:color="auto"/>
      </w:divBdr>
    </w:div>
    <w:div w:id="1765540039">
      <w:bodyDiv w:val="1"/>
      <w:marLeft w:val="0"/>
      <w:marRight w:val="0"/>
      <w:marTop w:val="0"/>
      <w:marBottom w:val="0"/>
      <w:divBdr>
        <w:top w:val="none" w:sz="0" w:space="0" w:color="auto"/>
        <w:left w:val="none" w:sz="0" w:space="0" w:color="auto"/>
        <w:bottom w:val="none" w:sz="0" w:space="0" w:color="auto"/>
        <w:right w:val="none" w:sz="0" w:space="0" w:color="auto"/>
      </w:divBdr>
    </w:div>
    <w:div w:id="1843085753">
      <w:bodyDiv w:val="1"/>
      <w:marLeft w:val="0"/>
      <w:marRight w:val="0"/>
      <w:marTop w:val="0"/>
      <w:marBottom w:val="0"/>
      <w:divBdr>
        <w:top w:val="none" w:sz="0" w:space="0" w:color="auto"/>
        <w:left w:val="none" w:sz="0" w:space="0" w:color="auto"/>
        <w:bottom w:val="none" w:sz="0" w:space="0" w:color="auto"/>
        <w:right w:val="none" w:sz="0" w:space="0" w:color="auto"/>
      </w:divBdr>
    </w:div>
    <w:div w:id="208425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BB5DC-3854-41C8-81AB-2F29454D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4097</Words>
  <Characters>24178</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28219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Policar Radek JUDr.</dc:creator>
  <cp:lastModifiedBy>Zikmundová Klára</cp:lastModifiedBy>
  <cp:revision>2</cp:revision>
  <cp:lastPrinted>2019-12-13T06:01:00Z</cp:lastPrinted>
  <dcterms:created xsi:type="dcterms:W3CDTF">2019-12-20T12:33:00Z</dcterms:created>
  <dcterms:modified xsi:type="dcterms:W3CDTF">2019-12-20T12:33:00Z</dcterms:modified>
</cp:coreProperties>
</file>